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32288" w14:textId="77777777" w:rsidR="00B438AF" w:rsidRDefault="00B438AF">
      <w:pPr>
        <w:adjustRightInd w:val="0"/>
        <w:snapToGrid w:val="0"/>
        <w:spacing w:line="360" w:lineRule="auto"/>
        <w:jc w:val="center"/>
        <w:rPr>
          <w:rFonts w:ascii="宋体" w:hAnsi="宋体" w:cs="Arial"/>
          <w:color w:val="000000" w:themeColor="text1"/>
          <w:sz w:val="24"/>
        </w:rPr>
      </w:pPr>
    </w:p>
    <w:p w14:paraId="76509EC2" w14:textId="77777777" w:rsidR="00B438AF" w:rsidRDefault="00B438AF">
      <w:pPr>
        <w:adjustRightInd w:val="0"/>
        <w:snapToGrid w:val="0"/>
        <w:spacing w:line="360" w:lineRule="auto"/>
        <w:jc w:val="center"/>
        <w:rPr>
          <w:rFonts w:ascii="宋体" w:hAnsi="宋体" w:cs="Arial"/>
          <w:color w:val="000000" w:themeColor="text1"/>
          <w:sz w:val="24"/>
        </w:rPr>
      </w:pPr>
    </w:p>
    <w:p w14:paraId="0DE77323" w14:textId="77777777" w:rsidR="00B438AF" w:rsidRDefault="00B438AF">
      <w:pPr>
        <w:adjustRightInd w:val="0"/>
        <w:snapToGrid w:val="0"/>
        <w:spacing w:line="360" w:lineRule="auto"/>
        <w:jc w:val="center"/>
        <w:rPr>
          <w:rFonts w:ascii="宋体" w:hAnsi="宋体" w:cs="Arial"/>
          <w:color w:val="000000" w:themeColor="text1"/>
          <w:sz w:val="24"/>
        </w:rPr>
      </w:pPr>
    </w:p>
    <w:p w14:paraId="0338C688" w14:textId="77777777" w:rsidR="00B438AF" w:rsidRDefault="00B438AF">
      <w:pPr>
        <w:adjustRightInd w:val="0"/>
        <w:snapToGrid w:val="0"/>
        <w:spacing w:line="360" w:lineRule="auto"/>
        <w:jc w:val="center"/>
        <w:rPr>
          <w:rFonts w:ascii="宋体" w:hAnsi="宋体" w:cs="Arial"/>
          <w:color w:val="000000" w:themeColor="text1"/>
          <w:sz w:val="24"/>
        </w:rPr>
      </w:pPr>
    </w:p>
    <w:p w14:paraId="34250774" w14:textId="77777777" w:rsidR="00B438AF" w:rsidRDefault="00B438AF">
      <w:pPr>
        <w:adjustRightInd w:val="0"/>
        <w:snapToGrid w:val="0"/>
        <w:spacing w:line="360" w:lineRule="auto"/>
        <w:jc w:val="center"/>
        <w:rPr>
          <w:rFonts w:ascii="宋体" w:hAnsi="宋体" w:cs="Arial"/>
          <w:color w:val="000000" w:themeColor="text1"/>
          <w:sz w:val="24"/>
        </w:rPr>
      </w:pPr>
    </w:p>
    <w:p w14:paraId="0B9BC1E4" w14:textId="77777777" w:rsidR="00B438AF" w:rsidRDefault="00B438AF">
      <w:pPr>
        <w:adjustRightInd w:val="0"/>
        <w:snapToGrid w:val="0"/>
        <w:spacing w:line="360" w:lineRule="auto"/>
        <w:jc w:val="center"/>
        <w:rPr>
          <w:rFonts w:ascii="宋体" w:hAnsi="宋体" w:cs="Arial"/>
          <w:color w:val="000000" w:themeColor="text1"/>
          <w:sz w:val="24"/>
        </w:rPr>
      </w:pPr>
    </w:p>
    <w:p w14:paraId="7169FCA6" w14:textId="77777777" w:rsidR="00B438AF" w:rsidRDefault="00B438AF">
      <w:pPr>
        <w:adjustRightInd w:val="0"/>
        <w:snapToGrid w:val="0"/>
        <w:spacing w:line="360" w:lineRule="auto"/>
        <w:jc w:val="center"/>
        <w:rPr>
          <w:rFonts w:ascii="宋体" w:hAnsi="宋体" w:cs="Arial"/>
          <w:color w:val="000000" w:themeColor="text1"/>
          <w:sz w:val="24"/>
        </w:rPr>
      </w:pPr>
    </w:p>
    <w:p w14:paraId="0A0E6EAF" w14:textId="77777777" w:rsidR="00B438AF" w:rsidRDefault="00B438AF">
      <w:pPr>
        <w:adjustRightInd w:val="0"/>
        <w:snapToGrid w:val="0"/>
        <w:spacing w:line="360" w:lineRule="auto"/>
        <w:jc w:val="center"/>
        <w:rPr>
          <w:rFonts w:ascii="宋体" w:hAnsi="宋体" w:cs="Arial"/>
          <w:color w:val="000000" w:themeColor="text1"/>
          <w:sz w:val="24"/>
        </w:rPr>
      </w:pPr>
    </w:p>
    <w:p w14:paraId="66B8E525" w14:textId="77777777" w:rsidR="00B438AF" w:rsidRDefault="00B438AF">
      <w:pPr>
        <w:adjustRightInd w:val="0"/>
        <w:snapToGrid w:val="0"/>
        <w:spacing w:line="360" w:lineRule="auto"/>
        <w:jc w:val="center"/>
        <w:rPr>
          <w:rFonts w:ascii="宋体" w:hAnsi="宋体" w:cs="Arial"/>
          <w:color w:val="000000" w:themeColor="text1"/>
          <w:sz w:val="24"/>
        </w:rPr>
      </w:pPr>
    </w:p>
    <w:p w14:paraId="5E3BB7C6" w14:textId="77777777" w:rsidR="00B438AF" w:rsidRDefault="00B438AF">
      <w:pPr>
        <w:adjustRightInd w:val="0"/>
        <w:snapToGrid w:val="0"/>
        <w:spacing w:line="360" w:lineRule="auto"/>
        <w:jc w:val="center"/>
        <w:rPr>
          <w:rFonts w:ascii="宋体" w:hAnsi="宋体" w:cs="Arial"/>
          <w:color w:val="000000" w:themeColor="text1"/>
          <w:sz w:val="24"/>
        </w:rPr>
      </w:pPr>
    </w:p>
    <w:p w14:paraId="34060005" w14:textId="77777777" w:rsidR="00B438AF" w:rsidRDefault="00B438AF">
      <w:pPr>
        <w:adjustRightInd w:val="0"/>
        <w:snapToGrid w:val="0"/>
        <w:spacing w:line="360" w:lineRule="auto"/>
        <w:jc w:val="center"/>
        <w:rPr>
          <w:rFonts w:ascii="宋体" w:hAnsi="宋体" w:cs="Arial"/>
          <w:color w:val="000000" w:themeColor="text1"/>
          <w:sz w:val="28"/>
        </w:rPr>
      </w:pPr>
    </w:p>
    <w:p w14:paraId="653B9888" w14:textId="2075FE64" w:rsidR="00B438AF" w:rsidRPr="008958AB" w:rsidRDefault="006C47E3">
      <w:pPr>
        <w:adjustRightInd w:val="0"/>
        <w:snapToGrid w:val="0"/>
        <w:spacing w:line="360" w:lineRule="auto"/>
        <w:jc w:val="center"/>
        <w:rPr>
          <w:rFonts w:ascii="宋体" w:hAnsi="宋体" w:cs="Arial"/>
          <w:b/>
          <w:color w:val="000000" w:themeColor="text1"/>
          <w:sz w:val="44"/>
        </w:rPr>
      </w:pPr>
      <w:proofErr w:type="gramStart"/>
      <w:r w:rsidRPr="008958AB">
        <w:rPr>
          <w:rFonts w:ascii="宋体" w:hAnsi="宋体" w:cs="Arial" w:hint="eastAsia"/>
          <w:b/>
          <w:color w:val="000000" w:themeColor="text1"/>
          <w:sz w:val="44"/>
        </w:rPr>
        <w:t>浦银安</w:t>
      </w:r>
      <w:proofErr w:type="gramEnd"/>
      <w:r w:rsidRPr="008958AB">
        <w:rPr>
          <w:rFonts w:ascii="宋体" w:hAnsi="宋体" w:cs="Arial" w:hint="eastAsia"/>
          <w:b/>
          <w:color w:val="000000" w:themeColor="text1"/>
          <w:sz w:val="44"/>
        </w:rPr>
        <w:t>盛周期优选混合型发起式证券投资基金</w:t>
      </w:r>
    </w:p>
    <w:p w14:paraId="3A5775A5" w14:textId="5422349A" w:rsidR="00B438AF" w:rsidRPr="008958AB" w:rsidRDefault="006C47E3">
      <w:pPr>
        <w:adjustRightInd w:val="0"/>
        <w:snapToGrid w:val="0"/>
        <w:spacing w:line="360" w:lineRule="auto"/>
        <w:jc w:val="center"/>
        <w:rPr>
          <w:rFonts w:ascii="宋体" w:hAnsi="宋体" w:cs="Arial"/>
          <w:b/>
          <w:color w:val="000000" w:themeColor="text1"/>
          <w:sz w:val="44"/>
        </w:rPr>
      </w:pPr>
      <w:r w:rsidRPr="008958AB">
        <w:rPr>
          <w:rFonts w:ascii="宋体" w:hAnsi="宋体" w:cs="Arial" w:hint="eastAsia"/>
          <w:b/>
          <w:color w:val="000000" w:themeColor="text1"/>
          <w:sz w:val="44"/>
        </w:rPr>
        <w:t>托管协议</w:t>
      </w:r>
    </w:p>
    <w:p w14:paraId="4849056C" w14:textId="77777777" w:rsidR="00B438AF" w:rsidRPr="008958AB" w:rsidRDefault="00B438AF">
      <w:pPr>
        <w:rPr>
          <w:color w:val="000000" w:themeColor="text1"/>
        </w:rPr>
      </w:pPr>
    </w:p>
    <w:p w14:paraId="3461C8D7" w14:textId="77777777" w:rsidR="00B438AF" w:rsidRPr="008958AB" w:rsidRDefault="00B438AF">
      <w:pPr>
        <w:rPr>
          <w:color w:val="000000" w:themeColor="text1"/>
        </w:rPr>
      </w:pPr>
    </w:p>
    <w:p w14:paraId="2662BA52" w14:textId="77777777" w:rsidR="00B438AF" w:rsidRPr="008958AB" w:rsidRDefault="00B438AF">
      <w:pPr>
        <w:rPr>
          <w:color w:val="000000" w:themeColor="text1"/>
        </w:rPr>
      </w:pPr>
    </w:p>
    <w:p w14:paraId="3492A9F1" w14:textId="77777777" w:rsidR="00B438AF" w:rsidRPr="008958AB" w:rsidRDefault="00B438AF">
      <w:pPr>
        <w:rPr>
          <w:color w:val="000000" w:themeColor="text1"/>
        </w:rPr>
      </w:pPr>
    </w:p>
    <w:p w14:paraId="798E4755" w14:textId="77777777" w:rsidR="00B438AF" w:rsidRPr="008958AB" w:rsidRDefault="00B438AF">
      <w:pPr>
        <w:jc w:val="center"/>
        <w:rPr>
          <w:color w:val="000000" w:themeColor="text1"/>
        </w:rPr>
      </w:pPr>
    </w:p>
    <w:p w14:paraId="62537E57" w14:textId="77777777" w:rsidR="00B438AF" w:rsidRPr="008958AB" w:rsidRDefault="00B438AF">
      <w:pPr>
        <w:jc w:val="center"/>
        <w:rPr>
          <w:color w:val="000000" w:themeColor="text1"/>
        </w:rPr>
      </w:pPr>
    </w:p>
    <w:p w14:paraId="3822B030" w14:textId="77777777" w:rsidR="00B438AF" w:rsidRPr="008958AB" w:rsidRDefault="00B438AF">
      <w:pPr>
        <w:jc w:val="center"/>
        <w:rPr>
          <w:color w:val="000000" w:themeColor="text1"/>
        </w:rPr>
      </w:pPr>
    </w:p>
    <w:p w14:paraId="25CE0073" w14:textId="77777777" w:rsidR="00B438AF" w:rsidRPr="008958AB" w:rsidRDefault="006C47E3">
      <w:pPr>
        <w:jc w:val="center"/>
        <w:rPr>
          <w:b/>
          <w:bCs/>
          <w:color w:val="000000" w:themeColor="text1"/>
          <w:sz w:val="28"/>
        </w:rPr>
      </w:pPr>
      <w:r w:rsidRPr="008958AB">
        <w:rPr>
          <w:rFonts w:hint="eastAsia"/>
          <w:b/>
          <w:bCs/>
          <w:color w:val="000000" w:themeColor="text1"/>
          <w:sz w:val="28"/>
        </w:rPr>
        <w:t>基金管理人：</w:t>
      </w:r>
      <w:proofErr w:type="gramStart"/>
      <w:r w:rsidRPr="008958AB">
        <w:rPr>
          <w:rFonts w:hint="eastAsia"/>
          <w:b/>
          <w:bCs/>
          <w:color w:val="000000" w:themeColor="text1"/>
          <w:sz w:val="28"/>
        </w:rPr>
        <w:t>浦银安盛基金</w:t>
      </w:r>
      <w:proofErr w:type="gramEnd"/>
      <w:r w:rsidRPr="008958AB">
        <w:rPr>
          <w:rFonts w:hint="eastAsia"/>
          <w:b/>
          <w:bCs/>
          <w:color w:val="000000" w:themeColor="text1"/>
          <w:sz w:val="28"/>
        </w:rPr>
        <w:t>管理有限公司</w:t>
      </w:r>
    </w:p>
    <w:p w14:paraId="6AF3FB8A" w14:textId="77777777" w:rsidR="00B438AF" w:rsidRPr="008958AB" w:rsidRDefault="006C47E3">
      <w:pPr>
        <w:jc w:val="center"/>
        <w:rPr>
          <w:b/>
          <w:bCs/>
          <w:color w:val="000000" w:themeColor="text1"/>
          <w:sz w:val="28"/>
        </w:rPr>
      </w:pPr>
      <w:r w:rsidRPr="008958AB">
        <w:rPr>
          <w:rFonts w:hint="eastAsia"/>
          <w:b/>
          <w:bCs/>
          <w:color w:val="000000" w:themeColor="text1"/>
          <w:sz w:val="28"/>
        </w:rPr>
        <w:t>基金托管人：中国建设银行股份有限公司</w:t>
      </w:r>
    </w:p>
    <w:p w14:paraId="2D05CD14" w14:textId="77777777" w:rsidR="00B438AF" w:rsidRPr="008958AB" w:rsidRDefault="00B438AF">
      <w:pPr>
        <w:jc w:val="center"/>
        <w:rPr>
          <w:color w:val="000000" w:themeColor="text1"/>
        </w:rPr>
      </w:pPr>
    </w:p>
    <w:p w14:paraId="52993A20" w14:textId="77777777" w:rsidR="00B438AF" w:rsidRPr="008958AB" w:rsidRDefault="00B438AF">
      <w:pPr>
        <w:jc w:val="center"/>
        <w:rPr>
          <w:color w:val="000000" w:themeColor="text1"/>
        </w:rPr>
      </w:pPr>
    </w:p>
    <w:p w14:paraId="5B57D0DD" w14:textId="77777777" w:rsidR="00B438AF" w:rsidRPr="008958AB" w:rsidRDefault="00B438AF">
      <w:pPr>
        <w:jc w:val="center"/>
        <w:rPr>
          <w:rFonts w:ascii="宋体" w:hAnsi="宋体" w:cs="Arial"/>
          <w:color w:val="000000" w:themeColor="text1"/>
          <w:sz w:val="24"/>
        </w:rPr>
      </w:pPr>
    </w:p>
    <w:p w14:paraId="52F4960F" w14:textId="77777777" w:rsidR="00B438AF" w:rsidRPr="008958AB" w:rsidRDefault="00B438AF">
      <w:pPr>
        <w:jc w:val="center"/>
        <w:rPr>
          <w:rFonts w:ascii="宋体" w:hAnsi="宋体" w:cs="Arial"/>
          <w:color w:val="000000" w:themeColor="text1"/>
          <w:sz w:val="24"/>
        </w:rPr>
      </w:pPr>
    </w:p>
    <w:p w14:paraId="0C2DAD3F" w14:textId="77777777" w:rsidR="00B438AF" w:rsidRPr="008958AB" w:rsidRDefault="00B438AF">
      <w:pPr>
        <w:jc w:val="center"/>
        <w:rPr>
          <w:rFonts w:ascii="宋体" w:hAnsi="宋体" w:cs="Arial"/>
          <w:color w:val="000000" w:themeColor="text1"/>
          <w:sz w:val="24"/>
        </w:rPr>
      </w:pPr>
    </w:p>
    <w:p w14:paraId="4F5BFDA9" w14:textId="3F48CF2A" w:rsidR="00B438AF" w:rsidRPr="008958AB" w:rsidRDefault="006C47E3">
      <w:pPr>
        <w:jc w:val="center"/>
        <w:rPr>
          <w:rFonts w:ascii="宋体" w:hAnsi="宋体" w:cs="Arial"/>
          <w:color w:val="000000" w:themeColor="text1"/>
          <w:sz w:val="24"/>
        </w:rPr>
      </w:pPr>
      <w:r w:rsidRPr="008958AB">
        <w:rPr>
          <w:rFonts w:ascii="宋体" w:hAnsi="宋体" w:cs="Arial" w:hint="eastAsia"/>
          <w:color w:val="000000" w:themeColor="text1"/>
          <w:sz w:val="24"/>
        </w:rPr>
        <w:t>二零二五年</w:t>
      </w:r>
      <w:r w:rsidR="0052278C">
        <w:rPr>
          <w:rFonts w:ascii="宋体" w:hAnsi="宋体" w:cs="Arial" w:hint="eastAsia"/>
          <w:color w:val="000000" w:themeColor="text1"/>
          <w:sz w:val="24"/>
        </w:rPr>
        <w:t>三</w:t>
      </w:r>
      <w:r w:rsidRPr="008958AB">
        <w:rPr>
          <w:rFonts w:ascii="宋体" w:hAnsi="宋体" w:cs="Arial" w:hint="eastAsia"/>
          <w:color w:val="000000" w:themeColor="text1"/>
          <w:sz w:val="24"/>
        </w:rPr>
        <w:t>月</w:t>
      </w:r>
    </w:p>
    <w:p w14:paraId="171F29F1" w14:textId="77777777" w:rsidR="00B438AF" w:rsidRPr="008958AB" w:rsidRDefault="00B438AF">
      <w:pPr>
        <w:rPr>
          <w:color w:val="000000" w:themeColor="text1"/>
        </w:rPr>
      </w:pPr>
    </w:p>
    <w:p w14:paraId="2198CB75" w14:textId="77777777" w:rsidR="00B438AF" w:rsidRPr="008958AB" w:rsidRDefault="00B438AF">
      <w:pPr>
        <w:rPr>
          <w:rFonts w:ascii="宋体" w:hAnsi="宋体" w:cs="Arial"/>
          <w:sz w:val="24"/>
        </w:rPr>
      </w:pPr>
    </w:p>
    <w:p w14:paraId="5E48CA9A" w14:textId="77777777" w:rsidR="00B438AF" w:rsidRPr="008958AB" w:rsidRDefault="00B438AF">
      <w:pPr>
        <w:rPr>
          <w:rFonts w:ascii="宋体" w:hAnsi="宋体" w:cs="Arial"/>
          <w:sz w:val="24"/>
        </w:rPr>
        <w:sectPr w:rsidR="00B438AF" w:rsidRPr="008958AB">
          <w:footerReference w:type="even" r:id="rId6"/>
          <w:footerReference w:type="default" r:id="rId7"/>
          <w:pgSz w:w="11906" w:h="16838"/>
          <w:pgMar w:top="1418" w:right="1701" w:bottom="1418" w:left="1701" w:header="851" w:footer="992" w:gutter="0"/>
          <w:cols w:space="720"/>
          <w:docGrid w:type="lines" w:linePitch="312"/>
        </w:sectPr>
      </w:pPr>
    </w:p>
    <w:p w14:paraId="299159FA" w14:textId="77777777" w:rsidR="00B438AF" w:rsidRPr="008958AB" w:rsidRDefault="00B438AF">
      <w:pPr>
        <w:adjustRightInd w:val="0"/>
        <w:snapToGrid w:val="0"/>
        <w:spacing w:line="360" w:lineRule="auto"/>
        <w:rPr>
          <w:rFonts w:ascii="宋体" w:hAnsi="宋体" w:cs="Arial"/>
          <w:bCs/>
          <w:color w:val="000000" w:themeColor="text1"/>
          <w:sz w:val="22"/>
        </w:rPr>
      </w:pPr>
    </w:p>
    <w:p w14:paraId="4835921A" w14:textId="77777777" w:rsidR="00B438AF" w:rsidRPr="008958AB" w:rsidRDefault="006C47E3">
      <w:pPr>
        <w:spacing w:line="360" w:lineRule="auto"/>
        <w:jc w:val="center"/>
        <w:rPr>
          <w:rFonts w:ascii="宋体" w:hAnsi="宋体"/>
          <w:b/>
          <w:bCs/>
          <w:color w:val="000000" w:themeColor="text1"/>
          <w:sz w:val="28"/>
        </w:rPr>
      </w:pPr>
      <w:r w:rsidRPr="008958AB">
        <w:rPr>
          <w:rFonts w:ascii="宋体" w:hAnsi="宋体" w:hint="eastAsia"/>
          <w:b/>
          <w:bCs/>
          <w:color w:val="000000" w:themeColor="text1"/>
          <w:sz w:val="28"/>
        </w:rPr>
        <w:t>目    录</w:t>
      </w:r>
    </w:p>
    <w:p w14:paraId="4A32D7D2" w14:textId="0D332960" w:rsidR="00B438AF" w:rsidRPr="008958AB" w:rsidRDefault="006C47E3">
      <w:pPr>
        <w:pStyle w:val="25"/>
        <w:tabs>
          <w:tab w:val="right" w:leader="dot" w:pos="8494"/>
        </w:tabs>
        <w:spacing w:line="360" w:lineRule="auto"/>
        <w:rPr>
          <w:rFonts w:ascii="宋体" w:hAnsi="宋体"/>
          <w:noProof/>
          <w:color w:val="000000" w:themeColor="text1"/>
          <w:sz w:val="24"/>
        </w:rPr>
      </w:pPr>
      <w:r w:rsidRPr="008958AB">
        <w:rPr>
          <w:rFonts w:ascii="宋体" w:hAnsi="宋体" w:hint="eastAsia"/>
          <w:color w:val="000000" w:themeColor="text1"/>
          <w:sz w:val="24"/>
        </w:rPr>
        <w:fldChar w:fldCharType="begin"/>
      </w:r>
      <w:r w:rsidRPr="008958AB">
        <w:rPr>
          <w:rFonts w:ascii="宋体" w:hAnsi="宋体" w:hint="eastAsia"/>
          <w:color w:val="000000" w:themeColor="text1"/>
          <w:sz w:val="24"/>
        </w:rPr>
        <w:instrText xml:space="preserve"> TOC \o "1-2" \h \z </w:instrText>
      </w:r>
      <w:r w:rsidRPr="008958AB">
        <w:rPr>
          <w:rFonts w:ascii="宋体" w:hAnsi="宋体" w:hint="eastAsia"/>
          <w:color w:val="000000" w:themeColor="text1"/>
          <w:sz w:val="24"/>
        </w:rPr>
        <w:fldChar w:fldCharType="separate"/>
      </w:r>
      <w:hyperlink w:anchor="_Toc124325885" w:history="1">
        <w:r w:rsidRPr="008958AB">
          <w:rPr>
            <w:rStyle w:val="af1"/>
            <w:rFonts w:ascii="宋体" w:hAnsi="宋体" w:hint="eastAsia"/>
            <w:noProof/>
            <w:color w:val="000000" w:themeColor="text1"/>
            <w:sz w:val="24"/>
            <w:szCs w:val="32"/>
          </w:rPr>
          <w:t>一、基金托管协议当事人</w:t>
        </w:r>
        <w:r w:rsidRPr="008958AB">
          <w:rPr>
            <w:rFonts w:ascii="宋体" w:hAnsi="宋体" w:hint="eastAsia"/>
            <w:noProof/>
            <w:color w:val="000000" w:themeColor="text1"/>
            <w:sz w:val="24"/>
          </w:rPr>
          <w:tab/>
        </w:r>
        <w:r w:rsidRPr="008958AB">
          <w:rPr>
            <w:rFonts w:ascii="宋体" w:hAnsi="宋体" w:hint="eastAsia"/>
            <w:noProof/>
            <w:color w:val="000000" w:themeColor="text1"/>
            <w:sz w:val="24"/>
          </w:rPr>
          <w:fldChar w:fldCharType="begin"/>
        </w:r>
        <w:r w:rsidRPr="008958AB">
          <w:rPr>
            <w:rFonts w:ascii="宋体" w:hAnsi="宋体" w:hint="eastAsia"/>
            <w:noProof/>
            <w:color w:val="000000" w:themeColor="text1"/>
            <w:sz w:val="24"/>
          </w:rPr>
          <w:instrText xml:space="preserve"> PAGEREF _Toc124325885 \h </w:instrText>
        </w:r>
        <w:r w:rsidRPr="008958AB">
          <w:rPr>
            <w:rFonts w:ascii="宋体" w:hAnsi="宋体" w:hint="eastAsia"/>
            <w:noProof/>
            <w:color w:val="000000" w:themeColor="text1"/>
            <w:sz w:val="24"/>
          </w:rPr>
        </w:r>
        <w:r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4</w:t>
        </w:r>
        <w:r w:rsidRPr="008958AB">
          <w:rPr>
            <w:rFonts w:ascii="宋体" w:hAnsi="宋体" w:hint="eastAsia"/>
            <w:noProof/>
            <w:color w:val="000000" w:themeColor="text1"/>
            <w:sz w:val="24"/>
          </w:rPr>
          <w:fldChar w:fldCharType="end"/>
        </w:r>
      </w:hyperlink>
    </w:p>
    <w:p w14:paraId="1B8E6E1B" w14:textId="1566750C"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86" w:history="1">
        <w:r w:rsidR="006C47E3" w:rsidRPr="008958AB">
          <w:rPr>
            <w:rStyle w:val="af1"/>
            <w:rFonts w:ascii="宋体" w:hAnsi="宋体" w:hint="eastAsia"/>
            <w:noProof/>
            <w:color w:val="000000" w:themeColor="text1"/>
            <w:sz w:val="24"/>
            <w:szCs w:val="32"/>
          </w:rPr>
          <w:t>二、基金托管协议的依据、目的和原则</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_Toc124325886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5</w:t>
        </w:r>
        <w:r w:rsidR="006C47E3" w:rsidRPr="008958AB">
          <w:rPr>
            <w:rFonts w:ascii="宋体" w:hAnsi="宋体" w:hint="eastAsia"/>
            <w:noProof/>
            <w:color w:val="000000" w:themeColor="text1"/>
            <w:sz w:val="24"/>
          </w:rPr>
          <w:fldChar w:fldCharType="end"/>
        </w:r>
      </w:hyperlink>
    </w:p>
    <w:p w14:paraId="4222BAFB" w14:textId="3EB03412"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87" w:history="1">
        <w:r w:rsidR="006C47E3" w:rsidRPr="008958AB">
          <w:rPr>
            <w:rStyle w:val="af1"/>
            <w:rFonts w:ascii="宋体" w:hAnsi="宋体" w:hint="eastAsia"/>
            <w:noProof/>
            <w:color w:val="000000" w:themeColor="text1"/>
            <w:sz w:val="24"/>
            <w:szCs w:val="32"/>
          </w:rPr>
          <w:t>三、基金托管人对基金管理人的业务监督和核查</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_Toc124325887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5</w:t>
        </w:r>
        <w:r w:rsidR="006C47E3" w:rsidRPr="008958AB">
          <w:rPr>
            <w:rFonts w:ascii="宋体" w:hAnsi="宋体" w:hint="eastAsia"/>
            <w:noProof/>
            <w:color w:val="000000" w:themeColor="text1"/>
            <w:sz w:val="24"/>
          </w:rPr>
          <w:fldChar w:fldCharType="end"/>
        </w:r>
      </w:hyperlink>
    </w:p>
    <w:p w14:paraId="496BF95D" w14:textId="34994ED6"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88" w:history="1">
        <w:r w:rsidR="006C47E3" w:rsidRPr="008958AB">
          <w:rPr>
            <w:rStyle w:val="af1"/>
            <w:rFonts w:ascii="宋体" w:hAnsi="宋体" w:hint="eastAsia"/>
            <w:noProof/>
            <w:color w:val="000000" w:themeColor="text1"/>
            <w:sz w:val="24"/>
            <w:szCs w:val="32"/>
          </w:rPr>
          <w:t>四、基金管理人对基金托管人的业务核查</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_Toc124325888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11</w:t>
        </w:r>
        <w:r w:rsidR="006C47E3" w:rsidRPr="008958AB">
          <w:rPr>
            <w:rFonts w:ascii="宋体" w:hAnsi="宋体" w:hint="eastAsia"/>
            <w:noProof/>
            <w:color w:val="000000" w:themeColor="text1"/>
            <w:sz w:val="24"/>
          </w:rPr>
          <w:fldChar w:fldCharType="end"/>
        </w:r>
      </w:hyperlink>
    </w:p>
    <w:p w14:paraId="4E4A37E1" w14:textId="5664D2F2"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89" w:history="1">
        <w:r w:rsidR="006C47E3" w:rsidRPr="008958AB">
          <w:rPr>
            <w:rStyle w:val="af1"/>
            <w:rFonts w:ascii="宋体" w:hAnsi="宋体" w:hint="eastAsia"/>
            <w:noProof/>
            <w:color w:val="000000" w:themeColor="text1"/>
            <w:sz w:val="24"/>
            <w:szCs w:val="32"/>
          </w:rPr>
          <w:t>五、基金财产的保管</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_Toc124325889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12</w:t>
        </w:r>
        <w:r w:rsidR="006C47E3" w:rsidRPr="008958AB">
          <w:rPr>
            <w:rFonts w:ascii="宋体" w:hAnsi="宋体" w:hint="eastAsia"/>
            <w:noProof/>
            <w:color w:val="000000" w:themeColor="text1"/>
            <w:sz w:val="24"/>
          </w:rPr>
          <w:fldChar w:fldCharType="end"/>
        </w:r>
      </w:hyperlink>
    </w:p>
    <w:p w14:paraId="104E9D70" w14:textId="0B554E5C"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90" w:history="1">
        <w:r w:rsidR="006C47E3" w:rsidRPr="008958AB">
          <w:rPr>
            <w:rStyle w:val="af1"/>
            <w:rFonts w:ascii="宋体" w:hAnsi="宋体" w:hint="eastAsia"/>
            <w:noProof/>
            <w:color w:val="000000" w:themeColor="text1"/>
            <w:sz w:val="24"/>
            <w:szCs w:val="32"/>
          </w:rPr>
          <w:t>六、指令的发送、确认及执行</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_Toc124325890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15</w:t>
        </w:r>
        <w:r w:rsidR="006C47E3" w:rsidRPr="008958AB">
          <w:rPr>
            <w:rFonts w:ascii="宋体" w:hAnsi="宋体" w:hint="eastAsia"/>
            <w:noProof/>
            <w:color w:val="000000" w:themeColor="text1"/>
            <w:sz w:val="24"/>
          </w:rPr>
          <w:fldChar w:fldCharType="end"/>
        </w:r>
      </w:hyperlink>
    </w:p>
    <w:p w14:paraId="32FA9E57" w14:textId="183AF98D"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91" w:history="1">
        <w:r w:rsidR="006C47E3" w:rsidRPr="008958AB">
          <w:rPr>
            <w:rStyle w:val="af1"/>
            <w:rFonts w:ascii="宋体" w:hAnsi="宋体" w:hint="eastAsia"/>
            <w:noProof/>
            <w:color w:val="000000" w:themeColor="text1"/>
            <w:sz w:val="24"/>
            <w:szCs w:val="32"/>
          </w:rPr>
          <w:t>七、交易及清算交收安排</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_Toc124325891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18</w:t>
        </w:r>
        <w:r w:rsidR="006C47E3" w:rsidRPr="008958AB">
          <w:rPr>
            <w:rFonts w:ascii="宋体" w:hAnsi="宋体" w:hint="eastAsia"/>
            <w:noProof/>
            <w:color w:val="000000" w:themeColor="text1"/>
            <w:sz w:val="24"/>
          </w:rPr>
          <w:fldChar w:fldCharType="end"/>
        </w:r>
      </w:hyperlink>
    </w:p>
    <w:p w14:paraId="5399427A" w14:textId="06DBE08C"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92" w:history="1">
        <w:r w:rsidR="006C47E3" w:rsidRPr="008958AB">
          <w:rPr>
            <w:rStyle w:val="af1"/>
            <w:rFonts w:ascii="宋体" w:hAnsi="宋体" w:hint="eastAsia"/>
            <w:noProof/>
            <w:color w:val="000000" w:themeColor="text1"/>
            <w:sz w:val="24"/>
            <w:szCs w:val="32"/>
          </w:rPr>
          <w:t>八、基金资产净值计算和会计核算</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_Toc124325892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22</w:t>
        </w:r>
        <w:r w:rsidR="006C47E3" w:rsidRPr="008958AB">
          <w:rPr>
            <w:rFonts w:ascii="宋体" w:hAnsi="宋体" w:hint="eastAsia"/>
            <w:noProof/>
            <w:color w:val="000000" w:themeColor="text1"/>
            <w:sz w:val="24"/>
          </w:rPr>
          <w:fldChar w:fldCharType="end"/>
        </w:r>
      </w:hyperlink>
    </w:p>
    <w:p w14:paraId="3998181D" w14:textId="40CFBAF9"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93" w:history="1">
        <w:r w:rsidR="006C47E3" w:rsidRPr="008958AB">
          <w:rPr>
            <w:rStyle w:val="af1"/>
            <w:rFonts w:ascii="宋体" w:hAnsi="宋体" w:hint="eastAsia"/>
            <w:noProof/>
            <w:color w:val="000000" w:themeColor="text1"/>
            <w:sz w:val="24"/>
            <w:szCs w:val="32"/>
          </w:rPr>
          <w:t>九、基金收益分配</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_Toc124325893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28</w:t>
        </w:r>
        <w:r w:rsidR="006C47E3" w:rsidRPr="008958AB">
          <w:rPr>
            <w:rFonts w:ascii="宋体" w:hAnsi="宋体" w:hint="eastAsia"/>
            <w:noProof/>
            <w:color w:val="000000" w:themeColor="text1"/>
            <w:sz w:val="24"/>
          </w:rPr>
          <w:fldChar w:fldCharType="end"/>
        </w:r>
      </w:hyperlink>
    </w:p>
    <w:p w14:paraId="1AE1E98D" w14:textId="378E5462"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94" w:history="1">
        <w:r w:rsidR="006C47E3" w:rsidRPr="008958AB">
          <w:rPr>
            <w:rStyle w:val="af1"/>
            <w:rFonts w:ascii="宋体" w:hAnsi="宋体" w:hint="eastAsia"/>
            <w:noProof/>
            <w:color w:val="000000" w:themeColor="text1"/>
            <w:sz w:val="24"/>
            <w:szCs w:val="32"/>
          </w:rPr>
          <w:t>十、基金信息披露</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_Toc124325894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29</w:t>
        </w:r>
        <w:r w:rsidR="006C47E3" w:rsidRPr="008958AB">
          <w:rPr>
            <w:rFonts w:ascii="宋体" w:hAnsi="宋体" w:hint="eastAsia"/>
            <w:noProof/>
            <w:color w:val="000000" w:themeColor="text1"/>
            <w:sz w:val="24"/>
          </w:rPr>
          <w:fldChar w:fldCharType="end"/>
        </w:r>
      </w:hyperlink>
    </w:p>
    <w:p w14:paraId="67C997F8" w14:textId="721F87A6"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95" w:history="1">
        <w:r w:rsidR="006C47E3" w:rsidRPr="008958AB">
          <w:rPr>
            <w:rStyle w:val="af1"/>
            <w:rFonts w:ascii="宋体" w:hAnsi="宋体" w:hint="eastAsia"/>
            <w:noProof/>
            <w:color w:val="000000" w:themeColor="text1"/>
            <w:sz w:val="24"/>
            <w:szCs w:val="32"/>
          </w:rPr>
          <w:t>十一、基金费用</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_Toc124325895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31</w:t>
        </w:r>
        <w:r w:rsidR="006C47E3" w:rsidRPr="008958AB">
          <w:rPr>
            <w:rFonts w:ascii="宋体" w:hAnsi="宋体" w:hint="eastAsia"/>
            <w:noProof/>
            <w:color w:val="000000" w:themeColor="text1"/>
            <w:sz w:val="24"/>
          </w:rPr>
          <w:fldChar w:fldCharType="end"/>
        </w:r>
      </w:hyperlink>
    </w:p>
    <w:p w14:paraId="3BD7E574" w14:textId="47DBE333"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96" w:history="1">
        <w:r w:rsidR="006C47E3" w:rsidRPr="008958AB">
          <w:rPr>
            <w:rStyle w:val="af1"/>
            <w:rFonts w:ascii="宋体" w:hAnsi="宋体" w:hint="eastAsia"/>
            <w:noProof/>
            <w:color w:val="000000" w:themeColor="text1"/>
            <w:sz w:val="24"/>
            <w:szCs w:val="32"/>
          </w:rPr>
          <w:t>十二、基金份额持有人名册的保管</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_Toc124325896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33</w:t>
        </w:r>
        <w:r w:rsidR="006C47E3" w:rsidRPr="008958AB">
          <w:rPr>
            <w:rFonts w:ascii="宋体" w:hAnsi="宋体" w:hint="eastAsia"/>
            <w:noProof/>
            <w:color w:val="000000" w:themeColor="text1"/>
            <w:sz w:val="24"/>
          </w:rPr>
          <w:fldChar w:fldCharType="end"/>
        </w:r>
      </w:hyperlink>
    </w:p>
    <w:p w14:paraId="648A5D3E" w14:textId="7C2614F7"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97" w:history="1">
        <w:r w:rsidR="006C47E3" w:rsidRPr="008958AB">
          <w:rPr>
            <w:rStyle w:val="af1"/>
            <w:rFonts w:ascii="宋体" w:hAnsi="宋体" w:hint="eastAsia"/>
            <w:noProof/>
            <w:color w:val="000000" w:themeColor="text1"/>
            <w:sz w:val="24"/>
            <w:szCs w:val="32"/>
          </w:rPr>
          <w:t>十三、基金有关文件档案的保存</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_Toc124325897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33</w:t>
        </w:r>
        <w:r w:rsidR="006C47E3" w:rsidRPr="008958AB">
          <w:rPr>
            <w:rFonts w:ascii="宋体" w:hAnsi="宋体" w:hint="eastAsia"/>
            <w:noProof/>
            <w:color w:val="000000" w:themeColor="text1"/>
            <w:sz w:val="24"/>
          </w:rPr>
          <w:fldChar w:fldCharType="end"/>
        </w:r>
      </w:hyperlink>
    </w:p>
    <w:p w14:paraId="2B280604" w14:textId="443BF5A0"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98" w:history="1">
        <w:r w:rsidR="006C47E3" w:rsidRPr="008958AB">
          <w:rPr>
            <w:rStyle w:val="af1"/>
            <w:rFonts w:ascii="宋体" w:hAnsi="宋体" w:hint="eastAsia"/>
            <w:noProof/>
            <w:color w:val="000000" w:themeColor="text1"/>
            <w:sz w:val="24"/>
            <w:szCs w:val="32"/>
          </w:rPr>
          <w:t>十四、基金管理人和基金托管人的更换</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_Toc124325898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34</w:t>
        </w:r>
        <w:r w:rsidR="006C47E3" w:rsidRPr="008958AB">
          <w:rPr>
            <w:rFonts w:ascii="宋体" w:hAnsi="宋体" w:hint="eastAsia"/>
            <w:noProof/>
            <w:color w:val="000000" w:themeColor="text1"/>
            <w:sz w:val="24"/>
          </w:rPr>
          <w:fldChar w:fldCharType="end"/>
        </w:r>
      </w:hyperlink>
    </w:p>
    <w:p w14:paraId="397B8FE9" w14:textId="2332C55F"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899" w:history="1">
        <w:r w:rsidR="006C47E3" w:rsidRPr="008958AB">
          <w:rPr>
            <w:rStyle w:val="af1"/>
            <w:rFonts w:ascii="宋体" w:hAnsi="宋体" w:hint="eastAsia"/>
            <w:noProof/>
            <w:color w:val="000000" w:themeColor="text1"/>
            <w:sz w:val="24"/>
            <w:szCs w:val="32"/>
          </w:rPr>
          <w:t>十五、禁止行为</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_Toc124325899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36</w:t>
        </w:r>
        <w:r w:rsidR="006C47E3" w:rsidRPr="008958AB">
          <w:rPr>
            <w:rFonts w:ascii="宋体" w:hAnsi="宋体" w:hint="eastAsia"/>
            <w:noProof/>
            <w:color w:val="000000" w:themeColor="text1"/>
            <w:sz w:val="24"/>
          </w:rPr>
          <w:fldChar w:fldCharType="end"/>
        </w:r>
      </w:hyperlink>
    </w:p>
    <w:p w14:paraId="544CA9EC" w14:textId="1E838D60"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900" w:history="1">
        <w:r w:rsidR="006C47E3" w:rsidRPr="008958AB">
          <w:rPr>
            <w:rStyle w:val="af1"/>
            <w:rFonts w:ascii="宋体" w:hAnsi="宋体" w:hint="eastAsia"/>
            <w:noProof/>
            <w:color w:val="000000" w:themeColor="text1"/>
            <w:sz w:val="24"/>
            <w:szCs w:val="32"/>
          </w:rPr>
          <w:t>十六、托管协议的变更、终止与基金财产的清算</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_Toc124325900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37</w:t>
        </w:r>
        <w:r w:rsidR="006C47E3" w:rsidRPr="008958AB">
          <w:rPr>
            <w:rFonts w:ascii="宋体" w:hAnsi="宋体" w:hint="eastAsia"/>
            <w:noProof/>
            <w:color w:val="000000" w:themeColor="text1"/>
            <w:sz w:val="24"/>
          </w:rPr>
          <w:fldChar w:fldCharType="end"/>
        </w:r>
      </w:hyperlink>
    </w:p>
    <w:p w14:paraId="1C1F9921" w14:textId="436A0329"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901" w:history="1">
        <w:r w:rsidR="006C47E3" w:rsidRPr="008958AB">
          <w:rPr>
            <w:rStyle w:val="af1"/>
            <w:rFonts w:ascii="宋体" w:hAnsi="宋体" w:hint="eastAsia"/>
            <w:noProof/>
            <w:color w:val="000000" w:themeColor="text1"/>
            <w:sz w:val="24"/>
            <w:szCs w:val="32"/>
          </w:rPr>
          <w:t>十七、违约责任</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_Toc124325901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39</w:t>
        </w:r>
        <w:r w:rsidR="006C47E3" w:rsidRPr="008958AB">
          <w:rPr>
            <w:rFonts w:ascii="宋体" w:hAnsi="宋体" w:hint="eastAsia"/>
            <w:noProof/>
            <w:color w:val="000000" w:themeColor="text1"/>
            <w:sz w:val="24"/>
          </w:rPr>
          <w:fldChar w:fldCharType="end"/>
        </w:r>
      </w:hyperlink>
    </w:p>
    <w:p w14:paraId="03424B07" w14:textId="2E13857A"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902" w:history="1">
        <w:r w:rsidR="006C47E3" w:rsidRPr="008958AB">
          <w:rPr>
            <w:rStyle w:val="af1"/>
            <w:rFonts w:ascii="宋体" w:hAnsi="宋体" w:hint="eastAsia"/>
            <w:noProof/>
            <w:color w:val="000000" w:themeColor="text1"/>
            <w:sz w:val="24"/>
            <w:szCs w:val="32"/>
          </w:rPr>
          <w:t>十八、争议解决方式</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_Toc124325902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40</w:t>
        </w:r>
        <w:r w:rsidR="006C47E3" w:rsidRPr="008958AB">
          <w:rPr>
            <w:rFonts w:ascii="宋体" w:hAnsi="宋体" w:hint="eastAsia"/>
            <w:noProof/>
            <w:color w:val="000000" w:themeColor="text1"/>
            <w:sz w:val="24"/>
          </w:rPr>
          <w:fldChar w:fldCharType="end"/>
        </w:r>
      </w:hyperlink>
    </w:p>
    <w:p w14:paraId="2144FC53" w14:textId="21533C01"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903" w:history="1">
        <w:r w:rsidR="006C47E3" w:rsidRPr="008958AB">
          <w:rPr>
            <w:rStyle w:val="af1"/>
            <w:rFonts w:ascii="宋体" w:hAnsi="宋体" w:hint="eastAsia"/>
            <w:noProof/>
            <w:color w:val="000000" w:themeColor="text1"/>
            <w:sz w:val="24"/>
            <w:szCs w:val="32"/>
          </w:rPr>
          <w:t>十九、托管协议的效力</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_Toc124325903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40</w:t>
        </w:r>
        <w:r w:rsidR="006C47E3" w:rsidRPr="008958AB">
          <w:rPr>
            <w:rFonts w:ascii="宋体" w:hAnsi="宋体" w:hint="eastAsia"/>
            <w:noProof/>
            <w:color w:val="000000" w:themeColor="text1"/>
            <w:sz w:val="24"/>
          </w:rPr>
          <w:fldChar w:fldCharType="end"/>
        </w:r>
      </w:hyperlink>
    </w:p>
    <w:p w14:paraId="6E90B925" w14:textId="2FED436A"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904" w:history="1">
        <w:r w:rsidR="006C47E3" w:rsidRPr="008958AB">
          <w:rPr>
            <w:rStyle w:val="af1"/>
            <w:rFonts w:ascii="宋体" w:hAnsi="宋体" w:hint="eastAsia"/>
            <w:noProof/>
            <w:color w:val="000000" w:themeColor="text1"/>
            <w:sz w:val="24"/>
            <w:szCs w:val="32"/>
          </w:rPr>
          <w:t>二十、其他事项</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_Toc124325904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41</w:t>
        </w:r>
        <w:r w:rsidR="006C47E3" w:rsidRPr="008958AB">
          <w:rPr>
            <w:rFonts w:ascii="宋体" w:hAnsi="宋体" w:hint="eastAsia"/>
            <w:noProof/>
            <w:color w:val="000000" w:themeColor="text1"/>
            <w:sz w:val="24"/>
          </w:rPr>
          <w:fldChar w:fldCharType="end"/>
        </w:r>
      </w:hyperlink>
    </w:p>
    <w:p w14:paraId="411BABBD" w14:textId="090DDA4E" w:rsidR="00B438AF" w:rsidRPr="008958AB" w:rsidRDefault="00D8628F">
      <w:pPr>
        <w:pStyle w:val="25"/>
        <w:tabs>
          <w:tab w:val="right" w:leader="dot" w:pos="8494"/>
        </w:tabs>
        <w:spacing w:line="360" w:lineRule="auto"/>
        <w:rPr>
          <w:rFonts w:ascii="宋体" w:hAnsi="宋体"/>
          <w:noProof/>
          <w:color w:val="000000" w:themeColor="text1"/>
          <w:sz w:val="24"/>
        </w:rPr>
      </w:pPr>
      <w:hyperlink w:anchor="_Toc124325905" w:history="1">
        <w:r w:rsidR="006C47E3" w:rsidRPr="008958AB">
          <w:rPr>
            <w:rStyle w:val="af1"/>
            <w:rFonts w:ascii="宋体" w:hAnsi="宋体" w:hint="eastAsia"/>
            <w:noProof/>
            <w:color w:val="000000" w:themeColor="text1"/>
            <w:sz w:val="24"/>
            <w:szCs w:val="32"/>
          </w:rPr>
          <w:t>二十一、托管协议的签订</w:t>
        </w:r>
        <w:r w:rsidR="006C47E3" w:rsidRPr="008958AB">
          <w:rPr>
            <w:rFonts w:ascii="宋体" w:hAnsi="宋体" w:hint="eastAsia"/>
            <w:noProof/>
            <w:color w:val="000000" w:themeColor="text1"/>
            <w:sz w:val="24"/>
          </w:rPr>
          <w:tab/>
        </w:r>
        <w:r w:rsidR="006C47E3" w:rsidRPr="008958AB">
          <w:rPr>
            <w:rFonts w:ascii="宋体" w:hAnsi="宋体" w:hint="eastAsia"/>
            <w:noProof/>
            <w:color w:val="000000" w:themeColor="text1"/>
            <w:sz w:val="24"/>
          </w:rPr>
          <w:fldChar w:fldCharType="begin"/>
        </w:r>
        <w:r w:rsidR="006C47E3" w:rsidRPr="008958AB">
          <w:rPr>
            <w:rFonts w:ascii="宋体" w:hAnsi="宋体" w:hint="eastAsia"/>
            <w:noProof/>
            <w:color w:val="000000" w:themeColor="text1"/>
            <w:sz w:val="24"/>
          </w:rPr>
          <w:instrText xml:space="preserve"> PAGEREF _Toc124325905 \h </w:instrText>
        </w:r>
        <w:r w:rsidR="006C47E3" w:rsidRPr="008958AB">
          <w:rPr>
            <w:rFonts w:ascii="宋体" w:hAnsi="宋体" w:hint="eastAsia"/>
            <w:noProof/>
            <w:color w:val="000000" w:themeColor="text1"/>
            <w:sz w:val="24"/>
          </w:rPr>
        </w:r>
        <w:r w:rsidR="006C47E3" w:rsidRPr="008958AB">
          <w:rPr>
            <w:rFonts w:ascii="宋体" w:hAnsi="宋体" w:hint="eastAsia"/>
            <w:noProof/>
            <w:color w:val="000000" w:themeColor="text1"/>
            <w:sz w:val="24"/>
          </w:rPr>
          <w:fldChar w:fldCharType="separate"/>
        </w:r>
        <w:r w:rsidR="004F554B">
          <w:rPr>
            <w:rFonts w:ascii="宋体" w:hAnsi="宋体"/>
            <w:noProof/>
            <w:color w:val="000000" w:themeColor="text1"/>
            <w:sz w:val="24"/>
          </w:rPr>
          <w:t>41</w:t>
        </w:r>
        <w:r w:rsidR="006C47E3" w:rsidRPr="008958AB">
          <w:rPr>
            <w:rFonts w:ascii="宋体" w:hAnsi="宋体" w:hint="eastAsia"/>
            <w:noProof/>
            <w:color w:val="000000" w:themeColor="text1"/>
            <w:sz w:val="24"/>
          </w:rPr>
          <w:fldChar w:fldCharType="end"/>
        </w:r>
      </w:hyperlink>
    </w:p>
    <w:p w14:paraId="5D984FB2" w14:textId="77777777" w:rsidR="00B438AF" w:rsidRPr="008958AB" w:rsidRDefault="006C47E3">
      <w:pPr>
        <w:spacing w:line="360" w:lineRule="auto"/>
        <w:rPr>
          <w:rFonts w:ascii="宋体" w:hAnsi="宋体"/>
          <w:color w:val="000000" w:themeColor="text1"/>
          <w:sz w:val="24"/>
        </w:rPr>
      </w:pPr>
      <w:r w:rsidRPr="008958AB">
        <w:rPr>
          <w:rFonts w:ascii="宋体" w:hAnsi="宋体" w:hint="eastAsia"/>
          <w:color w:val="000000" w:themeColor="text1"/>
          <w:sz w:val="24"/>
        </w:rPr>
        <w:fldChar w:fldCharType="end"/>
      </w:r>
    </w:p>
    <w:p w14:paraId="373637EE" w14:textId="77777777" w:rsidR="00B438AF" w:rsidRPr="008958AB" w:rsidRDefault="006C47E3">
      <w:pPr>
        <w:spacing w:line="360" w:lineRule="auto"/>
        <w:rPr>
          <w:rFonts w:ascii="宋体" w:hAnsi="宋体"/>
          <w:color w:val="000000" w:themeColor="text1"/>
          <w:sz w:val="24"/>
        </w:rPr>
      </w:pPr>
      <w:r w:rsidRPr="008958AB">
        <w:rPr>
          <w:rFonts w:ascii="宋体" w:hAnsi="宋体"/>
          <w:color w:val="000000" w:themeColor="text1"/>
          <w:sz w:val="24"/>
        </w:rPr>
        <w:br w:type="page"/>
      </w:r>
    </w:p>
    <w:p w14:paraId="360C7E40" w14:textId="1FAA5146" w:rsidR="00B438AF" w:rsidRPr="008958AB" w:rsidRDefault="006C47E3">
      <w:pPr>
        <w:widowControl/>
        <w:adjustRightInd w:val="0"/>
        <w:snapToGrid w:val="0"/>
        <w:spacing w:line="360" w:lineRule="auto"/>
        <w:ind w:firstLineChars="200" w:firstLine="480"/>
        <w:rPr>
          <w:rFonts w:ascii="宋体" w:hAnsi="宋体" w:cs="Arial"/>
          <w:color w:val="000000" w:themeColor="text1"/>
          <w:kern w:val="0"/>
          <w:sz w:val="24"/>
          <w:lang w:val="en-GB"/>
        </w:rPr>
      </w:pPr>
      <w:r w:rsidRPr="008958AB">
        <w:rPr>
          <w:rFonts w:ascii="宋体" w:hAnsi="宋体" w:cs="Arial" w:hint="eastAsia"/>
          <w:color w:val="000000" w:themeColor="text1"/>
          <w:kern w:val="0"/>
          <w:sz w:val="24"/>
          <w:lang w:val="en-GB"/>
        </w:rPr>
        <w:lastRenderedPageBreak/>
        <w:t>鉴于</w:t>
      </w:r>
      <w:proofErr w:type="gramStart"/>
      <w:r w:rsidRPr="008958AB">
        <w:rPr>
          <w:rFonts w:ascii="宋体" w:hAnsi="宋体" w:cs="Arial" w:hint="eastAsia"/>
          <w:color w:val="000000" w:themeColor="text1"/>
          <w:kern w:val="0"/>
          <w:sz w:val="24"/>
          <w:lang w:val="en-GB"/>
        </w:rPr>
        <w:t>浦银安盛基金</w:t>
      </w:r>
      <w:proofErr w:type="gramEnd"/>
      <w:r w:rsidRPr="008958AB">
        <w:rPr>
          <w:rFonts w:ascii="宋体" w:hAnsi="宋体" w:cs="Arial" w:hint="eastAsia"/>
          <w:color w:val="000000" w:themeColor="text1"/>
          <w:kern w:val="0"/>
          <w:sz w:val="24"/>
          <w:lang w:val="en-GB"/>
        </w:rPr>
        <w:t>管理有限公司系一家依照中国法律合法成立并有效存续的有限责任公司，按照相关法律法规的规定具备担任基金管理人的资格和能力，拟募集</w:t>
      </w:r>
      <w:proofErr w:type="gramStart"/>
      <w:r w:rsidRPr="008958AB">
        <w:rPr>
          <w:rFonts w:ascii="宋体" w:hAnsi="宋体" w:cs="Arial" w:hint="eastAsia"/>
          <w:color w:val="000000" w:themeColor="text1"/>
          <w:kern w:val="0"/>
          <w:sz w:val="24"/>
          <w:lang w:val="en-GB"/>
        </w:rPr>
        <w:t>发行浦银安</w:t>
      </w:r>
      <w:proofErr w:type="gramEnd"/>
      <w:r w:rsidRPr="008958AB">
        <w:rPr>
          <w:rFonts w:ascii="宋体" w:hAnsi="宋体" w:cs="Arial" w:hint="eastAsia"/>
          <w:color w:val="000000" w:themeColor="text1"/>
          <w:kern w:val="0"/>
          <w:sz w:val="24"/>
          <w:lang w:val="en-GB"/>
        </w:rPr>
        <w:t>盛周期优选混合型发起式证券投资基金；</w:t>
      </w:r>
    </w:p>
    <w:p w14:paraId="18544075" w14:textId="77777777" w:rsidR="00B438AF" w:rsidRPr="008958AB" w:rsidRDefault="006C47E3">
      <w:pPr>
        <w:widowControl/>
        <w:adjustRightInd w:val="0"/>
        <w:snapToGrid w:val="0"/>
        <w:spacing w:line="360" w:lineRule="auto"/>
        <w:ind w:firstLineChars="200" w:firstLine="480"/>
        <w:rPr>
          <w:rFonts w:ascii="宋体" w:hAnsi="宋体" w:cs="Arial"/>
          <w:color w:val="000000" w:themeColor="text1"/>
          <w:kern w:val="0"/>
          <w:sz w:val="24"/>
          <w:lang w:val="en-GB"/>
        </w:rPr>
      </w:pPr>
      <w:r w:rsidRPr="008958AB">
        <w:rPr>
          <w:rFonts w:ascii="宋体" w:hAnsi="宋体" w:cs="Arial" w:hint="eastAsia"/>
          <w:color w:val="000000" w:themeColor="text1"/>
          <w:kern w:val="0"/>
          <w:sz w:val="24"/>
          <w:lang w:val="en-GB"/>
        </w:rPr>
        <w:t>鉴于中国建设银行股份有限公司系一家依照中国法律合法成立并有效存续的银行，按照相关法律法规的规定具备担任基金托管人的资格和能力；</w:t>
      </w:r>
    </w:p>
    <w:p w14:paraId="73398EDC" w14:textId="6244E28B" w:rsidR="00B438AF" w:rsidRPr="008958AB" w:rsidRDefault="006C47E3">
      <w:pPr>
        <w:widowControl/>
        <w:adjustRightInd w:val="0"/>
        <w:snapToGrid w:val="0"/>
        <w:spacing w:line="360" w:lineRule="auto"/>
        <w:ind w:firstLineChars="200" w:firstLine="480"/>
        <w:rPr>
          <w:rFonts w:ascii="宋体" w:hAnsi="宋体" w:cs="Arial"/>
          <w:color w:val="000000" w:themeColor="text1"/>
          <w:kern w:val="0"/>
          <w:sz w:val="24"/>
          <w:lang w:val="en-GB"/>
        </w:rPr>
      </w:pPr>
      <w:r w:rsidRPr="008958AB">
        <w:rPr>
          <w:rFonts w:ascii="宋体" w:hAnsi="宋体" w:cs="Arial" w:hint="eastAsia"/>
          <w:color w:val="000000" w:themeColor="text1"/>
          <w:kern w:val="0"/>
          <w:sz w:val="24"/>
          <w:lang w:val="en-GB"/>
        </w:rPr>
        <w:t>鉴于</w:t>
      </w:r>
      <w:proofErr w:type="gramStart"/>
      <w:r w:rsidRPr="008958AB">
        <w:rPr>
          <w:rFonts w:ascii="宋体" w:hAnsi="宋体" w:cs="Arial" w:hint="eastAsia"/>
          <w:color w:val="000000" w:themeColor="text1"/>
          <w:kern w:val="0"/>
          <w:sz w:val="24"/>
          <w:lang w:val="en-GB"/>
        </w:rPr>
        <w:t>浦银安盛基金</w:t>
      </w:r>
      <w:proofErr w:type="gramEnd"/>
      <w:r w:rsidRPr="008958AB">
        <w:rPr>
          <w:rFonts w:ascii="宋体" w:hAnsi="宋体" w:cs="Arial" w:hint="eastAsia"/>
          <w:color w:val="000000" w:themeColor="text1"/>
          <w:kern w:val="0"/>
          <w:sz w:val="24"/>
          <w:lang w:val="en-GB"/>
        </w:rPr>
        <w:t>管理有限公司拟</w:t>
      </w:r>
      <w:proofErr w:type="gramStart"/>
      <w:r w:rsidRPr="008958AB">
        <w:rPr>
          <w:rFonts w:ascii="宋体" w:hAnsi="宋体" w:cs="Arial" w:hint="eastAsia"/>
          <w:color w:val="000000" w:themeColor="text1"/>
          <w:kern w:val="0"/>
          <w:sz w:val="24"/>
          <w:lang w:val="en-GB"/>
        </w:rPr>
        <w:t>担任浦银安</w:t>
      </w:r>
      <w:proofErr w:type="gramEnd"/>
      <w:r w:rsidRPr="008958AB">
        <w:rPr>
          <w:rFonts w:ascii="宋体" w:hAnsi="宋体" w:cs="Arial" w:hint="eastAsia"/>
          <w:color w:val="000000" w:themeColor="text1"/>
          <w:kern w:val="0"/>
          <w:sz w:val="24"/>
          <w:lang w:val="en-GB"/>
        </w:rPr>
        <w:t>盛周期优选混合型发起式证券投资基金的基金管理人，中国建设银行股份有限公司拟</w:t>
      </w:r>
      <w:proofErr w:type="gramStart"/>
      <w:r w:rsidRPr="008958AB">
        <w:rPr>
          <w:rFonts w:ascii="宋体" w:hAnsi="宋体" w:cs="Arial" w:hint="eastAsia"/>
          <w:color w:val="000000" w:themeColor="text1"/>
          <w:kern w:val="0"/>
          <w:sz w:val="24"/>
          <w:lang w:val="en-GB"/>
        </w:rPr>
        <w:t>担任浦银安</w:t>
      </w:r>
      <w:proofErr w:type="gramEnd"/>
      <w:r w:rsidRPr="008958AB">
        <w:rPr>
          <w:rFonts w:ascii="宋体" w:hAnsi="宋体" w:cs="Arial" w:hint="eastAsia"/>
          <w:color w:val="000000" w:themeColor="text1"/>
          <w:kern w:val="0"/>
          <w:sz w:val="24"/>
          <w:lang w:val="en-GB"/>
        </w:rPr>
        <w:t>盛周期优选混合型发起式证券投资基金的基金托管人；</w:t>
      </w:r>
    </w:p>
    <w:p w14:paraId="022A7D45" w14:textId="07B3E590" w:rsidR="00B438AF" w:rsidRPr="008958AB" w:rsidRDefault="006C47E3">
      <w:pPr>
        <w:widowControl/>
        <w:adjustRightInd w:val="0"/>
        <w:snapToGrid w:val="0"/>
        <w:spacing w:line="360" w:lineRule="auto"/>
        <w:ind w:firstLineChars="200" w:firstLine="480"/>
        <w:rPr>
          <w:rFonts w:ascii="宋体" w:hAnsi="宋体" w:cs="Arial"/>
          <w:color w:val="000000" w:themeColor="text1"/>
          <w:kern w:val="0"/>
          <w:sz w:val="24"/>
          <w:lang w:val="en-GB"/>
        </w:rPr>
      </w:pPr>
      <w:r w:rsidRPr="008958AB">
        <w:rPr>
          <w:rFonts w:ascii="宋体" w:hAnsi="宋体" w:cs="Arial" w:hint="eastAsia"/>
          <w:color w:val="000000" w:themeColor="text1"/>
          <w:kern w:val="0"/>
          <w:sz w:val="24"/>
          <w:lang w:val="en-GB"/>
        </w:rPr>
        <w:t>为</w:t>
      </w:r>
      <w:proofErr w:type="gramStart"/>
      <w:r w:rsidRPr="008958AB">
        <w:rPr>
          <w:rFonts w:ascii="宋体" w:hAnsi="宋体" w:cs="Arial" w:hint="eastAsia"/>
          <w:color w:val="000000" w:themeColor="text1"/>
          <w:kern w:val="0"/>
          <w:sz w:val="24"/>
          <w:lang w:val="en-GB"/>
        </w:rPr>
        <w:t>明确浦银安</w:t>
      </w:r>
      <w:proofErr w:type="gramEnd"/>
      <w:r w:rsidRPr="008958AB">
        <w:rPr>
          <w:rFonts w:ascii="宋体" w:hAnsi="宋体" w:cs="Arial" w:hint="eastAsia"/>
          <w:color w:val="000000" w:themeColor="text1"/>
          <w:kern w:val="0"/>
          <w:sz w:val="24"/>
          <w:lang w:val="en-GB"/>
        </w:rPr>
        <w:t>盛周期优选混合型发起式证券投资基金的基金管理人和基金托管人之间的权利义务关系，特制订本托管协议；</w:t>
      </w:r>
    </w:p>
    <w:p w14:paraId="3314708C" w14:textId="1B7A6A7B" w:rsidR="00B438AF" w:rsidRPr="008958AB" w:rsidRDefault="006C47E3">
      <w:pPr>
        <w:widowControl/>
        <w:adjustRightInd w:val="0"/>
        <w:snapToGrid w:val="0"/>
        <w:spacing w:line="360" w:lineRule="auto"/>
        <w:ind w:firstLineChars="200" w:firstLine="480"/>
        <w:rPr>
          <w:rFonts w:ascii="宋体" w:hAnsi="宋体" w:cs="Arial"/>
          <w:color w:val="000000" w:themeColor="text1"/>
          <w:kern w:val="0"/>
          <w:sz w:val="24"/>
          <w:lang w:val="en-GB"/>
        </w:rPr>
      </w:pPr>
      <w:r w:rsidRPr="008958AB">
        <w:rPr>
          <w:rFonts w:ascii="宋体" w:hAnsi="宋体" w:cs="Arial" w:hint="eastAsia"/>
          <w:color w:val="000000" w:themeColor="text1"/>
          <w:kern w:val="0"/>
          <w:sz w:val="24"/>
          <w:lang w:val="en-GB"/>
        </w:rPr>
        <w:t>除非另有约定，《浦银安盛周期优选混合型发起式证券投资基金基金合同》</w:t>
      </w:r>
      <w:r w:rsidRPr="008958AB">
        <w:rPr>
          <w:rFonts w:ascii="宋体" w:hAnsi="宋体" w:cs="Arial"/>
          <w:color w:val="000000" w:themeColor="text1"/>
          <w:kern w:val="0"/>
          <w:sz w:val="24"/>
          <w:lang w:val="en-GB"/>
        </w:rPr>
        <w:t>(以下简称“基金合同”</w:t>
      </w:r>
      <w:r w:rsidRPr="008958AB">
        <w:rPr>
          <w:rFonts w:ascii="宋体" w:hAnsi="宋体" w:cs="Arial" w:hint="eastAsia"/>
          <w:color w:val="000000" w:themeColor="text1"/>
          <w:kern w:val="0"/>
          <w:sz w:val="24"/>
          <w:lang w:val="en-GB"/>
        </w:rPr>
        <w:t>或“《基金合同》”</w:t>
      </w:r>
      <w:r w:rsidRPr="008958AB">
        <w:rPr>
          <w:rFonts w:ascii="宋体" w:hAnsi="宋体" w:cs="Arial"/>
          <w:color w:val="000000" w:themeColor="text1"/>
          <w:kern w:val="0"/>
          <w:sz w:val="24"/>
          <w:lang w:val="en-GB"/>
        </w:rPr>
        <w:t>)中定义的术语在用于本托管协议时应具有相同的含义；若有抵触应以《基金合同》为准，并依其</w:t>
      </w:r>
      <w:r w:rsidRPr="008958AB">
        <w:rPr>
          <w:rFonts w:ascii="宋体" w:hAnsi="宋体" w:cs="Arial" w:hint="eastAsia"/>
          <w:color w:val="000000" w:themeColor="text1"/>
          <w:kern w:val="0"/>
          <w:sz w:val="24"/>
          <w:lang w:val="en-GB"/>
        </w:rPr>
        <w:t>条款解释。</w:t>
      </w:r>
    </w:p>
    <w:p w14:paraId="322E7258" w14:textId="77777777" w:rsidR="00B438AF" w:rsidRPr="008958AB" w:rsidRDefault="006C47E3">
      <w:pPr>
        <w:widowControl/>
        <w:adjustRightInd w:val="0"/>
        <w:snapToGrid w:val="0"/>
        <w:spacing w:line="360" w:lineRule="auto"/>
        <w:ind w:firstLineChars="200" w:firstLine="480"/>
        <w:rPr>
          <w:rFonts w:ascii="宋体" w:hAnsi="宋体" w:cs="Arial"/>
          <w:color w:val="000000" w:themeColor="text1"/>
          <w:kern w:val="0"/>
          <w:sz w:val="24"/>
          <w:lang w:val="en-GB"/>
        </w:rPr>
      </w:pPr>
      <w:r w:rsidRPr="008958AB">
        <w:rPr>
          <w:rFonts w:ascii="宋体" w:hAnsi="宋体" w:cs="Arial" w:hint="eastAsia"/>
          <w:color w:val="000000" w:themeColor="text1"/>
          <w:kern w:val="0"/>
          <w:sz w:val="24"/>
          <w:lang w:val="en-GB"/>
        </w:rPr>
        <w:t>若本基金实施</w:t>
      </w:r>
      <w:proofErr w:type="gramStart"/>
      <w:r w:rsidRPr="008958AB">
        <w:rPr>
          <w:rFonts w:ascii="宋体" w:hAnsi="宋体" w:cs="Arial" w:hint="eastAsia"/>
          <w:color w:val="000000" w:themeColor="text1"/>
          <w:kern w:val="0"/>
          <w:sz w:val="24"/>
          <w:lang w:val="en-GB"/>
        </w:rPr>
        <w:t>侧袋机制</w:t>
      </w:r>
      <w:proofErr w:type="gramEnd"/>
      <w:r w:rsidRPr="008958AB">
        <w:rPr>
          <w:rFonts w:ascii="宋体" w:hAnsi="宋体" w:cs="Arial" w:hint="eastAsia"/>
          <w:color w:val="000000" w:themeColor="text1"/>
          <w:kern w:val="0"/>
          <w:sz w:val="24"/>
          <w:lang w:val="en-GB"/>
        </w:rPr>
        <w:t>的，</w:t>
      </w:r>
      <w:proofErr w:type="gramStart"/>
      <w:r w:rsidRPr="008958AB">
        <w:rPr>
          <w:rFonts w:ascii="宋体" w:hAnsi="宋体" w:cs="Arial" w:hint="eastAsia"/>
          <w:color w:val="000000" w:themeColor="text1"/>
          <w:kern w:val="0"/>
          <w:sz w:val="24"/>
          <w:lang w:val="en-GB"/>
        </w:rPr>
        <w:t>侧袋机制</w:t>
      </w:r>
      <w:proofErr w:type="gramEnd"/>
      <w:r w:rsidRPr="008958AB">
        <w:rPr>
          <w:rFonts w:ascii="宋体" w:hAnsi="宋体" w:cs="Arial" w:hint="eastAsia"/>
          <w:color w:val="000000" w:themeColor="text1"/>
          <w:kern w:val="0"/>
          <w:sz w:val="24"/>
          <w:lang w:val="en-GB"/>
        </w:rPr>
        <w:t>实施期间的相关安排</w:t>
      </w:r>
      <w:proofErr w:type="gramStart"/>
      <w:r w:rsidRPr="008958AB">
        <w:rPr>
          <w:rFonts w:ascii="宋体" w:hAnsi="宋体" w:cs="Arial" w:hint="eastAsia"/>
          <w:color w:val="000000" w:themeColor="text1"/>
          <w:kern w:val="0"/>
          <w:sz w:val="24"/>
          <w:lang w:val="en-GB"/>
        </w:rPr>
        <w:t>见基金</w:t>
      </w:r>
      <w:proofErr w:type="gramEnd"/>
      <w:r w:rsidRPr="008958AB">
        <w:rPr>
          <w:rFonts w:ascii="宋体" w:hAnsi="宋体" w:cs="Arial" w:hint="eastAsia"/>
          <w:color w:val="000000" w:themeColor="text1"/>
          <w:kern w:val="0"/>
          <w:sz w:val="24"/>
          <w:lang w:val="en-GB"/>
        </w:rPr>
        <w:t>合同和招募说明书的规定。</w:t>
      </w:r>
    </w:p>
    <w:p w14:paraId="3AE56F63" w14:textId="77777777" w:rsidR="00B438AF" w:rsidRPr="008958AB" w:rsidRDefault="00B438AF">
      <w:pPr>
        <w:widowControl/>
        <w:adjustRightInd w:val="0"/>
        <w:snapToGrid w:val="0"/>
        <w:spacing w:line="360" w:lineRule="auto"/>
        <w:ind w:firstLineChars="200" w:firstLine="480"/>
        <w:rPr>
          <w:rFonts w:ascii="宋体" w:hAnsi="宋体" w:cs="Arial"/>
          <w:color w:val="000000" w:themeColor="text1"/>
          <w:kern w:val="0"/>
          <w:sz w:val="24"/>
          <w:lang w:val="en-GB"/>
        </w:rPr>
      </w:pPr>
    </w:p>
    <w:p w14:paraId="0EEF0581" w14:textId="77777777" w:rsidR="00B438AF" w:rsidRPr="008958AB" w:rsidRDefault="006C47E3">
      <w:pPr>
        <w:spacing w:line="360" w:lineRule="auto"/>
        <w:rPr>
          <w:rFonts w:ascii="宋体" w:hAnsi="宋体"/>
          <w:color w:val="000000" w:themeColor="text1"/>
          <w:sz w:val="24"/>
          <w:lang w:val="en-GB"/>
        </w:rPr>
      </w:pPr>
      <w:r w:rsidRPr="008958AB">
        <w:rPr>
          <w:rFonts w:ascii="宋体" w:hAnsi="宋体"/>
          <w:color w:val="000000" w:themeColor="text1"/>
          <w:sz w:val="24"/>
          <w:lang w:val="en-GB"/>
        </w:rPr>
        <w:br w:type="page"/>
      </w:r>
    </w:p>
    <w:p w14:paraId="02B2E5DB" w14:textId="77777777" w:rsidR="00B438AF" w:rsidRPr="008958AB" w:rsidRDefault="006C47E3">
      <w:pPr>
        <w:pStyle w:val="2"/>
        <w:spacing w:line="360" w:lineRule="auto"/>
        <w:jc w:val="center"/>
        <w:rPr>
          <w:rFonts w:ascii="宋体" w:eastAsia="宋体" w:hAnsi="宋体"/>
          <w:color w:val="000000" w:themeColor="text1"/>
        </w:rPr>
      </w:pPr>
      <w:bookmarkStart w:id="0" w:name="_Toc124325885"/>
      <w:r w:rsidRPr="008958AB">
        <w:rPr>
          <w:rFonts w:ascii="宋体" w:eastAsia="宋体" w:hAnsi="宋体" w:hint="eastAsia"/>
          <w:color w:val="000000" w:themeColor="text1"/>
        </w:rPr>
        <w:lastRenderedPageBreak/>
        <w:t>一、基金托管协议当事人</w:t>
      </w:r>
      <w:bookmarkEnd w:id="0"/>
    </w:p>
    <w:p w14:paraId="2428BAA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（一）基金管理人</w:t>
      </w:r>
    </w:p>
    <w:p w14:paraId="498E80E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名称：</w:t>
      </w:r>
      <w:proofErr w:type="gramStart"/>
      <w:r w:rsidRPr="008958AB">
        <w:rPr>
          <w:rFonts w:ascii="宋体" w:hAnsi="宋体" w:cs="Arial" w:hint="eastAsia"/>
          <w:color w:val="000000" w:themeColor="text1"/>
          <w:sz w:val="24"/>
        </w:rPr>
        <w:t>浦银安盛基金</w:t>
      </w:r>
      <w:proofErr w:type="gramEnd"/>
      <w:r w:rsidRPr="008958AB">
        <w:rPr>
          <w:rFonts w:ascii="宋体" w:hAnsi="宋体" w:cs="Arial" w:hint="eastAsia"/>
          <w:color w:val="000000" w:themeColor="text1"/>
          <w:sz w:val="24"/>
        </w:rPr>
        <w:t>管理有限公司</w:t>
      </w:r>
    </w:p>
    <w:p w14:paraId="7AF4DB2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注册地址：中国（上海）自由贸易试验区滨江大道</w:t>
      </w:r>
      <w:r w:rsidRPr="008958AB">
        <w:rPr>
          <w:rFonts w:ascii="宋体" w:hAnsi="宋体" w:cs="Arial"/>
          <w:color w:val="000000" w:themeColor="text1"/>
          <w:sz w:val="24"/>
        </w:rPr>
        <w:t>5189号地下1层、地上1层至地上4层、地上6层至地上7层</w:t>
      </w:r>
    </w:p>
    <w:p w14:paraId="1E88B6A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办公地址：上海市浦东新区滨江大道</w:t>
      </w:r>
      <w:r w:rsidRPr="008958AB">
        <w:rPr>
          <w:rFonts w:ascii="宋体" w:hAnsi="宋体" w:cs="Arial"/>
          <w:color w:val="000000" w:themeColor="text1"/>
          <w:sz w:val="24"/>
        </w:rPr>
        <w:t>5189号S2座1-7层</w:t>
      </w:r>
    </w:p>
    <w:p w14:paraId="7DD3B06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邮政编码：</w:t>
      </w:r>
      <w:r w:rsidRPr="008958AB">
        <w:rPr>
          <w:rFonts w:ascii="宋体" w:hAnsi="宋体" w:cs="Arial"/>
          <w:color w:val="000000" w:themeColor="text1"/>
          <w:sz w:val="24"/>
        </w:rPr>
        <w:t>200127</w:t>
      </w:r>
    </w:p>
    <w:p w14:paraId="3D2459A8" w14:textId="4253A7C2"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法定代表人：张健</w:t>
      </w:r>
    </w:p>
    <w:p w14:paraId="369058E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成立日期：</w:t>
      </w:r>
      <w:r w:rsidRPr="008958AB">
        <w:rPr>
          <w:rFonts w:ascii="宋体" w:hAnsi="宋体" w:cs="Arial"/>
          <w:color w:val="000000" w:themeColor="text1"/>
          <w:sz w:val="24"/>
        </w:rPr>
        <w:t>2007年8月5日</w:t>
      </w:r>
    </w:p>
    <w:p w14:paraId="5AAE50DB"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批准设立机关及批准设立文号：中国证监会证</w:t>
      </w:r>
      <w:proofErr w:type="gramStart"/>
      <w:r w:rsidRPr="008958AB">
        <w:rPr>
          <w:rFonts w:ascii="宋体" w:hAnsi="宋体" w:cs="Arial" w:hint="eastAsia"/>
          <w:color w:val="000000" w:themeColor="text1"/>
          <w:sz w:val="24"/>
        </w:rPr>
        <w:t>监基金字</w:t>
      </w:r>
      <w:proofErr w:type="gramEnd"/>
      <w:r w:rsidRPr="008958AB">
        <w:rPr>
          <w:rFonts w:ascii="宋体" w:hAnsi="宋体" w:cs="Arial" w:hint="eastAsia"/>
          <w:color w:val="000000" w:themeColor="text1"/>
          <w:sz w:val="24"/>
        </w:rPr>
        <w:t>[2007]207号</w:t>
      </w:r>
    </w:p>
    <w:p w14:paraId="6C60C65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组织形式：有限责任公司</w:t>
      </w:r>
    </w:p>
    <w:p w14:paraId="57A5B6D8"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注册资本：120,000万元人民币</w:t>
      </w:r>
    </w:p>
    <w:p w14:paraId="0B64620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存续期间：持续经营</w:t>
      </w:r>
    </w:p>
    <w:p w14:paraId="2510523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经营范围：基金募集、基金销售、资产管理，境外证券投资管理和中国证监会许可的其他业务。</w:t>
      </w:r>
    </w:p>
    <w:p w14:paraId="7E2E2AD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（二）基金托管人</w:t>
      </w:r>
    </w:p>
    <w:p w14:paraId="4C2E82C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名称：中国建设银行股份有限公司</w:t>
      </w:r>
    </w:p>
    <w:p w14:paraId="2F5BCBC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住所：北京市西城区金融大街25号</w:t>
      </w:r>
    </w:p>
    <w:p w14:paraId="6FA4A58B"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办公地址：北京市西城区闹市口大街1号院1号楼</w:t>
      </w:r>
    </w:p>
    <w:p w14:paraId="1A6FBE0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邮政编码：100033</w:t>
      </w:r>
    </w:p>
    <w:p w14:paraId="4BDB02F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法定代表人：张金良</w:t>
      </w:r>
    </w:p>
    <w:p w14:paraId="2C0D9C71"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成立日期：2004年09月17日</w:t>
      </w:r>
    </w:p>
    <w:p w14:paraId="2137654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批准设立机关及批准设立文号：中国银行业监督管理委员会</w:t>
      </w:r>
      <w:proofErr w:type="gramStart"/>
      <w:r w:rsidRPr="008958AB">
        <w:rPr>
          <w:rFonts w:ascii="宋体" w:hAnsi="宋体" w:cs="Arial" w:hint="eastAsia"/>
          <w:color w:val="000000" w:themeColor="text1"/>
          <w:sz w:val="24"/>
        </w:rPr>
        <w:t>银监复</w:t>
      </w:r>
      <w:proofErr w:type="gramEnd"/>
      <w:r w:rsidRPr="008958AB">
        <w:rPr>
          <w:rFonts w:ascii="宋体" w:hAnsi="宋体" w:cs="Arial" w:hint="eastAsia"/>
          <w:color w:val="000000" w:themeColor="text1"/>
          <w:sz w:val="24"/>
        </w:rPr>
        <w:t>[2004]143号</w:t>
      </w:r>
    </w:p>
    <w:p w14:paraId="65363B6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基金托管业务批准文号：中国证监会</w:t>
      </w:r>
      <w:proofErr w:type="gramStart"/>
      <w:r w:rsidRPr="008958AB">
        <w:rPr>
          <w:rFonts w:ascii="宋体" w:hAnsi="宋体" w:cs="Arial" w:hint="eastAsia"/>
          <w:color w:val="000000" w:themeColor="text1"/>
          <w:sz w:val="24"/>
        </w:rPr>
        <w:t>证监基字</w:t>
      </w:r>
      <w:proofErr w:type="gramEnd"/>
      <w:r w:rsidRPr="008958AB">
        <w:rPr>
          <w:rFonts w:ascii="宋体" w:hAnsi="宋体" w:cs="Arial" w:hint="eastAsia"/>
          <w:color w:val="000000" w:themeColor="text1"/>
          <w:sz w:val="24"/>
        </w:rPr>
        <w:t>[1998</w:t>
      </w:r>
      <w:bookmarkStart w:id="1" w:name="OLE_LINK3"/>
      <w:r w:rsidRPr="008958AB">
        <w:rPr>
          <w:rFonts w:ascii="宋体" w:hAnsi="宋体" w:cs="Arial" w:hint="eastAsia"/>
          <w:color w:val="000000" w:themeColor="text1"/>
          <w:sz w:val="24"/>
        </w:rPr>
        <w:t>]</w:t>
      </w:r>
      <w:bookmarkEnd w:id="1"/>
      <w:r w:rsidRPr="008958AB">
        <w:rPr>
          <w:rFonts w:ascii="宋体" w:hAnsi="宋体" w:cs="Arial" w:hint="eastAsia"/>
          <w:color w:val="000000" w:themeColor="text1"/>
          <w:sz w:val="24"/>
        </w:rPr>
        <w:t>12号</w:t>
      </w:r>
    </w:p>
    <w:p w14:paraId="6C919EA1"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组织形式：股份有限公司</w:t>
      </w:r>
    </w:p>
    <w:p w14:paraId="297F79E1"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注册资本：</w:t>
      </w:r>
      <w:proofErr w:type="gramStart"/>
      <w:r w:rsidRPr="008958AB">
        <w:rPr>
          <w:rFonts w:ascii="宋体" w:hAnsi="宋体" w:hint="eastAsia"/>
          <w:color w:val="000000" w:themeColor="text1"/>
          <w:sz w:val="24"/>
        </w:rPr>
        <w:t>贰仟伍佰亿壹仟零玖拾柒万柒仟肆佰捌拾陆</w:t>
      </w:r>
      <w:proofErr w:type="gramEnd"/>
      <w:r w:rsidRPr="008958AB">
        <w:rPr>
          <w:rFonts w:ascii="宋体" w:hAnsi="宋体" w:hint="eastAsia"/>
          <w:color w:val="000000" w:themeColor="text1"/>
          <w:sz w:val="24"/>
        </w:rPr>
        <w:t>元整</w:t>
      </w:r>
    </w:p>
    <w:p w14:paraId="1A737C1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存续期间：持续经营</w:t>
      </w:r>
    </w:p>
    <w:p w14:paraId="5B6C3F8B" w14:textId="77777777" w:rsidR="00B438AF" w:rsidRPr="008958AB" w:rsidRDefault="006C47E3">
      <w:pPr>
        <w:tabs>
          <w:tab w:val="left" w:pos="540"/>
        </w:tabs>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经营范围：吸收公众存款；发放短期、中期、长期贷款；办理国内外结算；办</w:t>
      </w:r>
      <w:r w:rsidRPr="008958AB">
        <w:rPr>
          <w:rFonts w:ascii="宋体" w:hAnsi="宋体" w:cs="Arial" w:hint="eastAsia"/>
          <w:color w:val="000000" w:themeColor="text1"/>
          <w:sz w:val="24"/>
        </w:rPr>
        <w:lastRenderedPageBreak/>
        <w:t>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2CE9262" w14:textId="77777777" w:rsidR="00B438AF" w:rsidRPr="008958AB" w:rsidRDefault="00B438AF">
      <w:pPr>
        <w:spacing w:line="360" w:lineRule="auto"/>
        <w:rPr>
          <w:rFonts w:ascii="宋体" w:hAnsi="宋体"/>
          <w:color w:val="000000" w:themeColor="text1"/>
          <w:sz w:val="24"/>
        </w:rPr>
      </w:pPr>
    </w:p>
    <w:p w14:paraId="29D2A01B" w14:textId="77777777" w:rsidR="00B438AF" w:rsidRPr="008958AB" w:rsidRDefault="006C47E3">
      <w:pPr>
        <w:pStyle w:val="2"/>
        <w:spacing w:line="360" w:lineRule="auto"/>
        <w:jc w:val="center"/>
        <w:rPr>
          <w:rFonts w:ascii="宋体" w:eastAsia="宋体" w:hAnsi="宋体"/>
          <w:color w:val="000000" w:themeColor="text1"/>
          <w:sz w:val="30"/>
        </w:rPr>
      </w:pPr>
      <w:bookmarkStart w:id="2" w:name="_Toc124325886"/>
      <w:r w:rsidRPr="008958AB">
        <w:rPr>
          <w:rFonts w:ascii="宋体" w:eastAsia="宋体" w:hAnsi="宋体" w:hint="eastAsia"/>
          <w:color w:val="000000" w:themeColor="text1"/>
          <w:sz w:val="30"/>
        </w:rPr>
        <w:t>二、基金托管协议的依据、目的和原则</w:t>
      </w:r>
      <w:bookmarkEnd w:id="2"/>
    </w:p>
    <w:p w14:paraId="1054F1DF" w14:textId="77777777" w:rsidR="00B438AF" w:rsidRPr="008958AB" w:rsidRDefault="006C47E3">
      <w:pPr>
        <w:adjustRightInd w:val="0"/>
        <w:snapToGrid w:val="0"/>
        <w:spacing w:line="360" w:lineRule="auto"/>
        <w:ind w:firstLineChars="200" w:firstLine="480"/>
        <w:rPr>
          <w:rFonts w:ascii="宋体" w:hAnsi="宋体"/>
          <w:color w:val="000000" w:themeColor="text1"/>
          <w:sz w:val="24"/>
          <w:szCs w:val="30"/>
        </w:rPr>
      </w:pPr>
      <w:r w:rsidRPr="008958AB">
        <w:rPr>
          <w:rFonts w:ascii="宋体" w:hAnsi="宋体" w:cs="Arial" w:hint="eastAsia"/>
          <w:color w:val="000000" w:themeColor="text1"/>
          <w:sz w:val="24"/>
        </w:rPr>
        <w:t>（一）订立托管协议的依据</w:t>
      </w:r>
    </w:p>
    <w:p w14:paraId="25CFA51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本协议依据《中华人民共和国证券投资基金法》(以下简称“《基金法》”)</w:t>
      </w:r>
      <w:r w:rsidRPr="008958AB">
        <w:rPr>
          <w:color w:val="000000" w:themeColor="text1"/>
        </w:rPr>
        <w:t xml:space="preserve"> </w:t>
      </w:r>
      <w:r w:rsidRPr="008958AB">
        <w:rPr>
          <w:rFonts w:hint="eastAsia"/>
          <w:color w:val="000000" w:themeColor="text1"/>
        </w:rPr>
        <w:t>、</w:t>
      </w:r>
      <w:r w:rsidRPr="008958AB">
        <w:rPr>
          <w:rFonts w:ascii="宋体" w:hAnsi="宋体" w:cs="Arial" w:hint="eastAsia"/>
          <w:color w:val="000000" w:themeColor="text1"/>
          <w:sz w:val="24"/>
        </w:rPr>
        <w:t>《公开募集证券投资基金运作管理办法》（以下简称“《运作办法》”）、《公开募集证券投资基金信息披露管理办法》（以下简称“《信息披露办法》”）、《公开募集开放式证券投资基金流动性风险管理规定》</w:t>
      </w:r>
      <w:r w:rsidRPr="008958AB">
        <w:rPr>
          <w:bCs/>
          <w:color w:val="000000" w:themeColor="text1"/>
          <w:sz w:val="24"/>
        </w:rPr>
        <w:t>(</w:t>
      </w:r>
      <w:r w:rsidRPr="008958AB">
        <w:rPr>
          <w:rFonts w:hint="eastAsia"/>
          <w:bCs/>
          <w:color w:val="000000" w:themeColor="text1"/>
          <w:sz w:val="24"/>
        </w:rPr>
        <w:t>以下简称“《流动性风险管理规定》”</w:t>
      </w:r>
      <w:r w:rsidRPr="008958AB">
        <w:rPr>
          <w:bCs/>
          <w:color w:val="000000" w:themeColor="text1"/>
          <w:sz w:val="24"/>
        </w:rPr>
        <w:t>)</w:t>
      </w:r>
      <w:r w:rsidRPr="008958AB">
        <w:rPr>
          <w:rFonts w:ascii="宋体" w:hAnsi="宋体" w:cs="Arial" w:hint="eastAsia"/>
          <w:color w:val="000000" w:themeColor="text1"/>
          <w:sz w:val="24"/>
        </w:rPr>
        <w:t>等有关法律法规、《基金合同》及其他有关规定制订。</w:t>
      </w:r>
    </w:p>
    <w:p w14:paraId="29FE571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（二）订立托管协议的目的</w:t>
      </w:r>
    </w:p>
    <w:p w14:paraId="1D5F5250" w14:textId="77777777" w:rsidR="00B438AF" w:rsidRPr="008958AB" w:rsidRDefault="006C47E3">
      <w:pPr>
        <w:adjustRightInd w:val="0"/>
        <w:snapToGrid w:val="0"/>
        <w:spacing w:line="360" w:lineRule="auto"/>
        <w:ind w:firstLineChars="200" w:firstLine="480"/>
        <w:rPr>
          <w:rFonts w:ascii="宋体" w:hAnsi="宋体"/>
          <w:color w:val="000000" w:themeColor="text1"/>
          <w:sz w:val="24"/>
          <w:szCs w:val="30"/>
        </w:rPr>
      </w:pPr>
      <w:r w:rsidRPr="008958AB">
        <w:rPr>
          <w:rFonts w:ascii="宋体" w:hAnsi="宋体" w:cs="Arial" w:hint="eastAsia"/>
          <w:color w:val="000000" w:themeColor="text1"/>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CE59BC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（三）订立托管协议的原则</w:t>
      </w:r>
    </w:p>
    <w:p w14:paraId="3F97186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基金管理人和基金托管人本着平等自愿、诚实信用、充分保护基金份额持有人合法权益的原则，经协商一致，签订本协议。</w:t>
      </w:r>
    </w:p>
    <w:p w14:paraId="228F4CD5" w14:textId="77777777" w:rsidR="00B438AF" w:rsidRPr="008958AB" w:rsidRDefault="00B438AF">
      <w:pPr>
        <w:spacing w:line="360" w:lineRule="auto"/>
        <w:rPr>
          <w:rFonts w:ascii="宋体" w:hAnsi="宋体"/>
          <w:color w:val="000000" w:themeColor="text1"/>
          <w:sz w:val="24"/>
        </w:rPr>
      </w:pPr>
    </w:p>
    <w:p w14:paraId="6E834A10" w14:textId="77777777" w:rsidR="00B438AF" w:rsidRPr="008958AB" w:rsidRDefault="006C47E3">
      <w:pPr>
        <w:pStyle w:val="2"/>
        <w:spacing w:line="360" w:lineRule="auto"/>
        <w:jc w:val="center"/>
        <w:rPr>
          <w:rFonts w:ascii="宋体" w:eastAsia="宋体" w:hAnsi="宋体"/>
          <w:color w:val="000000" w:themeColor="text1"/>
          <w:sz w:val="30"/>
          <w:szCs w:val="24"/>
        </w:rPr>
      </w:pPr>
      <w:bookmarkStart w:id="3" w:name="_Toc124325887"/>
      <w:r w:rsidRPr="008958AB">
        <w:rPr>
          <w:rFonts w:ascii="宋体" w:eastAsia="宋体" w:hAnsi="宋体" w:hint="eastAsia"/>
          <w:color w:val="000000" w:themeColor="text1"/>
          <w:sz w:val="30"/>
        </w:rPr>
        <w:t>三、基金托管人对基金管理人的业务监督和核查</w:t>
      </w:r>
      <w:bookmarkEnd w:id="3"/>
    </w:p>
    <w:p w14:paraId="3DBD3AFA"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w:t>
      </w:r>
      <w:proofErr w:type="gramStart"/>
      <w:r w:rsidRPr="008958AB">
        <w:rPr>
          <w:rFonts w:ascii="宋体" w:hAnsi="宋体" w:cs="Arial" w:hint="eastAsia"/>
          <w:color w:val="000000" w:themeColor="text1"/>
          <w:sz w:val="24"/>
        </w:rPr>
        <w:t>库提供</w:t>
      </w:r>
      <w:proofErr w:type="gramEnd"/>
      <w:r w:rsidRPr="008958AB">
        <w:rPr>
          <w:rFonts w:ascii="宋体" w:hAnsi="宋体" w:cs="Arial" w:hint="eastAsia"/>
          <w:color w:val="000000" w:themeColor="text1"/>
          <w:sz w:val="24"/>
        </w:rPr>
        <w:t>给基金托管人，基金管理人可以根据实际情况的变化，对标的证券</w:t>
      </w:r>
      <w:proofErr w:type="gramStart"/>
      <w:r w:rsidRPr="008958AB">
        <w:rPr>
          <w:rFonts w:ascii="宋体" w:hAnsi="宋体" w:cs="Arial" w:hint="eastAsia"/>
          <w:color w:val="000000" w:themeColor="text1"/>
          <w:sz w:val="24"/>
        </w:rPr>
        <w:t>库予以</w:t>
      </w:r>
      <w:proofErr w:type="gramEnd"/>
      <w:r w:rsidRPr="008958AB">
        <w:rPr>
          <w:rFonts w:ascii="宋体" w:hAnsi="宋体" w:cs="Arial" w:hint="eastAsia"/>
          <w:color w:val="000000" w:themeColor="text1"/>
          <w:sz w:val="24"/>
        </w:rPr>
        <w:t>更新和调整并及时书面通知基金托管人。基金托管人根据上述投资范围对基金实际投资是否符合《基金合同》关于证券选择标准的约定进行监督。</w:t>
      </w:r>
    </w:p>
    <w:p w14:paraId="1F8C69B4" w14:textId="761FE924"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lastRenderedPageBreak/>
        <w:t>本基金的投资对象包括国内依法发行上市的股票（包括主板、创业板、</w:t>
      </w:r>
      <w:proofErr w:type="gramStart"/>
      <w:r w:rsidRPr="008958AB">
        <w:rPr>
          <w:rFonts w:hint="eastAsia"/>
          <w:bCs/>
          <w:color w:val="000000" w:themeColor="text1"/>
          <w:sz w:val="24"/>
        </w:rPr>
        <w:t>科创板</w:t>
      </w:r>
      <w:proofErr w:type="gramEnd"/>
      <w:r w:rsidRPr="008958AB">
        <w:rPr>
          <w:rFonts w:hint="eastAsia"/>
          <w:bCs/>
          <w:color w:val="000000" w:themeColor="text1"/>
          <w:sz w:val="24"/>
        </w:rPr>
        <w:t>及其他经中国证监会核准或注册上市的股票）、港股通标的股票、存托凭证、债券（包括国债、央行票据、金融债、企业债、公司债、公开发行的次级债、地方政府债券、政府支持机构债券、政府支持债券、中期票据、可转换债券、短期融资</w:t>
      </w:r>
      <w:proofErr w:type="gramStart"/>
      <w:r w:rsidRPr="008958AB">
        <w:rPr>
          <w:rFonts w:hint="eastAsia"/>
          <w:bCs/>
          <w:color w:val="000000" w:themeColor="text1"/>
          <w:sz w:val="24"/>
        </w:rPr>
        <w:t>券</w:t>
      </w:r>
      <w:proofErr w:type="gramEnd"/>
      <w:r w:rsidRPr="008958AB">
        <w:rPr>
          <w:rFonts w:hint="eastAsia"/>
          <w:bCs/>
          <w:color w:val="000000" w:themeColor="text1"/>
          <w:sz w:val="24"/>
        </w:rPr>
        <w:t>、超短期融资</w:t>
      </w:r>
      <w:proofErr w:type="gramStart"/>
      <w:r w:rsidRPr="008958AB">
        <w:rPr>
          <w:rFonts w:hint="eastAsia"/>
          <w:bCs/>
          <w:color w:val="000000" w:themeColor="text1"/>
          <w:sz w:val="24"/>
        </w:rPr>
        <w:t>券</w:t>
      </w:r>
      <w:proofErr w:type="gramEnd"/>
      <w:r w:rsidRPr="008958AB">
        <w:rPr>
          <w:rFonts w:hint="eastAsia"/>
          <w:bCs/>
          <w:color w:val="000000" w:themeColor="text1"/>
          <w:sz w:val="24"/>
        </w:rPr>
        <w:t>）、资产支持证券、债券回购、银行存款、同业存单、货币市场工具、国债期货、</w:t>
      </w:r>
      <w:r w:rsidR="00EF5D92" w:rsidRPr="008958AB">
        <w:rPr>
          <w:rFonts w:hint="eastAsia"/>
          <w:bCs/>
          <w:color w:val="000000" w:themeColor="text1"/>
          <w:sz w:val="24"/>
        </w:rPr>
        <w:t>股指期货、</w:t>
      </w:r>
      <w:r w:rsidRPr="008958AB">
        <w:rPr>
          <w:rFonts w:hint="eastAsia"/>
          <w:bCs/>
          <w:color w:val="000000" w:themeColor="text1"/>
          <w:sz w:val="24"/>
        </w:rPr>
        <w:t>股票期权及法律法规或中国证监会允许基金投资的其他金融工具（但须符合中国证监会的相关规定）。</w:t>
      </w:r>
    </w:p>
    <w:p w14:paraId="68BFF2E8" w14:textId="77777777" w:rsidR="00B438AF" w:rsidRPr="008958AB" w:rsidRDefault="006C47E3">
      <w:pPr>
        <w:spacing w:line="360" w:lineRule="auto"/>
        <w:ind w:firstLineChars="200" w:firstLine="480"/>
        <w:rPr>
          <w:bCs/>
          <w:color w:val="000000" w:themeColor="text1"/>
          <w:sz w:val="24"/>
        </w:rPr>
      </w:pPr>
      <w:r w:rsidRPr="008958AB">
        <w:rPr>
          <w:rFonts w:ascii="宋体" w:hAnsi="宋体" w:hint="eastAsia"/>
          <w:color w:val="000000" w:themeColor="text1"/>
          <w:sz w:val="24"/>
        </w:rPr>
        <w:t>如法律法规或监管机构以后允许基金投资其他品种，基金管理人在履行适当程序后，可以将其纳入投资范围。</w:t>
      </w:r>
    </w:p>
    <w:p w14:paraId="26D6AA4A"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本基金可根据相关法律法规的规定，参与融资业务。</w:t>
      </w:r>
    </w:p>
    <w:p w14:paraId="144FA3F7" w14:textId="7DE7234C"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本基金的投资组合比例为：本基金股票投资占基金资产的比例为</w:t>
      </w:r>
      <w:r w:rsidRPr="008958AB">
        <w:rPr>
          <w:rFonts w:hint="eastAsia"/>
          <w:bCs/>
          <w:color w:val="000000" w:themeColor="text1"/>
          <w:sz w:val="24"/>
        </w:rPr>
        <w:t>60%</w:t>
      </w:r>
      <w:r w:rsidRPr="008958AB">
        <w:rPr>
          <w:rFonts w:hint="eastAsia"/>
          <w:bCs/>
          <w:color w:val="000000" w:themeColor="text1"/>
          <w:sz w:val="24"/>
        </w:rPr>
        <w:t>–</w:t>
      </w:r>
      <w:r w:rsidRPr="008958AB">
        <w:rPr>
          <w:rFonts w:hint="eastAsia"/>
          <w:bCs/>
          <w:color w:val="000000" w:themeColor="text1"/>
          <w:sz w:val="24"/>
        </w:rPr>
        <w:t>95%</w:t>
      </w:r>
      <w:r w:rsidRPr="008958AB">
        <w:rPr>
          <w:rFonts w:hint="eastAsia"/>
          <w:bCs/>
          <w:color w:val="000000" w:themeColor="text1"/>
          <w:sz w:val="24"/>
        </w:rPr>
        <w:t>，其中投资于港股通标的股票的比例不超过股票资产的</w:t>
      </w:r>
      <w:r w:rsidRPr="008958AB">
        <w:rPr>
          <w:rFonts w:hint="eastAsia"/>
          <w:bCs/>
          <w:color w:val="000000" w:themeColor="text1"/>
          <w:sz w:val="24"/>
        </w:rPr>
        <w:t>50%</w:t>
      </w:r>
      <w:r w:rsidRPr="008958AB">
        <w:rPr>
          <w:rFonts w:hint="eastAsia"/>
          <w:bCs/>
          <w:color w:val="000000" w:themeColor="text1"/>
          <w:sz w:val="24"/>
        </w:rPr>
        <w:t>；每个交易日日终在扣除国债期货、股指期货和股票期权合约需缴纳的交易保证金后，本基金保持现金及到期日在一年以内的政府债券不低于基金资产净值的</w:t>
      </w:r>
      <w:r w:rsidRPr="008958AB">
        <w:rPr>
          <w:rFonts w:hint="eastAsia"/>
          <w:bCs/>
          <w:color w:val="000000" w:themeColor="text1"/>
          <w:sz w:val="24"/>
        </w:rPr>
        <w:t>5%</w:t>
      </w:r>
      <w:r w:rsidRPr="008958AB">
        <w:rPr>
          <w:rFonts w:hint="eastAsia"/>
          <w:bCs/>
          <w:color w:val="000000" w:themeColor="text1"/>
          <w:sz w:val="24"/>
        </w:rPr>
        <w:t>，其中现金不包括结算备付金、存出保证金、应收申购款等。</w:t>
      </w:r>
    </w:p>
    <w:p w14:paraId="3831F8AB"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如法律法规或中国证监会变更投资品种的投资比例限制，基金管理人在履行适当程序后，可以调整上述投资品种的投资比例。</w:t>
      </w:r>
    </w:p>
    <w:p w14:paraId="701D8944"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（二）基金托管人根据有关法律法规的规定及《基金合同》的约定，对基金投资、融资比例进行监督。基金托管人按下述比例和调整期限进行监督：</w:t>
      </w:r>
    </w:p>
    <w:p w14:paraId="3827EB0B" w14:textId="0DACF0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bCs/>
          <w:color w:val="000000" w:themeColor="text1"/>
          <w:sz w:val="24"/>
        </w:rPr>
        <w:t>.</w:t>
      </w:r>
      <w:r w:rsidRPr="008958AB">
        <w:rPr>
          <w:rFonts w:hint="eastAsia"/>
          <w:bCs/>
          <w:color w:val="000000" w:themeColor="text1"/>
          <w:sz w:val="24"/>
        </w:rPr>
        <w:t>本基金股票投资占基金资产的比例为</w:t>
      </w:r>
      <w:r w:rsidRPr="008958AB">
        <w:rPr>
          <w:rFonts w:hint="eastAsia"/>
          <w:bCs/>
          <w:color w:val="000000" w:themeColor="text1"/>
          <w:sz w:val="24"/>
        </w:rPr>
        <w:t>60%-95%</w:t>
      </w:r>
      <w:r w:rsidRPr="008958AB">
        <w:rPr>
          <w:rFonts w:hint="eastAsia"/>
          <w:bCs/>
          <w:color w:val="000000" w:themeColor="text1"/>
          <w:sz w:val="24"/>
        </w:rPr>
        <w:t>，其中投资于港股通标的股票的比例不超过股票资产的</w:t>
      </w:r>
      <w:r w:rsidRPr="008958AB">
        <w:rPr>
          <w:rFonts w:hint="eastAsia"/>
          <w:bCs/>
          <w:color w:val="000000" w:themeColor="text1"/>
          <w:sz w:val="24"/>
        </w:rPr>
        <w:t>50%</w:t>
      </w:r>
      <w:r w:rsidRPr="008958AB">
        <w:rPr>
          <w:rFonts w:hint="eastAsia"/>
          <w:bCs/>
          <w:color w:val="000000" w:themeColor="text1"/>
          <w:sz w:val="24"/>
        </w:rPr>
        <w:t>；</w:t>
      </w:r>
    </w:p>
    <w:p w14:paraId="6E70C9DA" w14:textId="1964103A"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2</w:t>
      </w:r>
      <w:r w:rsidRPr="008958AB">
        <w:rPr>
          <w:bCs/>
          <w:color w:val="000000" w:themeColor="text1"/>
          <w:sz w:val="24"/>
        </w:rPr>
        <w:t>.</w:t>
      </w:r>
      <w:r w:rsidRPr="008958AB">
        <w:rPr>
          <w:rFonts w:hint="eastAsia"/>
          <w:bCs/>
          <w:color w:val="000000" w:themeColor="text1"/>
          <w:sz w:val="24"/>
        </w:rPr>
        <w:t>每个交易日日终在扣除国债期货、股指期货和股票期权合约需缴纳的交易保证金后，本基金保持现金及到期日在一年以内的政府债券不低于基金资产净值的</w:t>
      </w:r>
      <w:r w:rsidRPr="008958AB">
        <w:rPr>
          <w:rFonts w:hint="eastAsia"/>
          <w:bCs/>
          <w:color w:val="000000" w:themeColor="text1"/>
          <w:sz w:val="24"/>
        </w:rPr>
        <w:t>5%</w:t>
      </w:r>
      <w:r w:rsidRPr="008958AB">
        <w:rPr>
          <w:rFonts w:hint="eastAsia"/>
          <w:bCs/>
          <w:color w:val="000000" w:themeColor="text1"/>
          <w:sz w:val="24"/>
        </w:rPr>
        <w:t>，其中现金不包括结算备付金、存出保证金、应收申购款等；</w:t>
      </w:r>
    </w:p>
    <w:p w14:paraId="77FCAD9F"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3</w:t>
      </w:r>
      <w:r w:rsidRPr="008958AB">
        <w:rPr>
          <w:bCs/>
          <w:color w:val="000000" w:themeColor="text1"/>
          <w:sz w:val="24"/>
        </w:rPr>
        <w:t>.</w:t>
      </w:r>
      <w:r w:rsidRPr="008958AB">
        <w:rPr>
          <w:rFonts w:hint="eastAsia"/>
          <w:bCs/>
          <w:color w:val="000000" w:themeColor="text1"/>
          <w:sz w:val="24"/>
        </w:rPr>
        <w:t>本基金持有一家公司发行的证券，其市值（同一家公司在境内和香港同时上市的</w:t>
      </w:r>
      <w:r w:rsidRPr="008958AB">
        <w:rPr>
          <w:rFonts w:hint="eastAsia"/>
          <w:bCs/>
          <w:color w:val="000000" w:themeColor="text1"/>
          <w:sz w:val="24"/>
        </w:rPr>
        <w:t>A+H</w:t>
      </w:r>
      <w:r w:rsidRPr="008958AB">
        <w:rPr>
          <w:rFonts w:hint="eastAsia"/>
          <w:bCs/>
          <w:color w:val="000000" w:themeColor="text1"/>
          <w:sz w:val="24"/>
        </w:rPr>
        <w:t>股合计计算）不超过基金资产净值的</w:t>
      </w:r>
      <w:r w:rsidRPr="008958AB">
        <w:rPr>
          <w:rFonts w:hint="eastAsia"/>
          <w:bCs/>
          <w:color w:val="000000" w:themeColor="text1"/>
          <w:sz w:val="24"/>
        </w:rPr>
        <w:t>10%</w:t>
      </w:r>
      <w:r w:rsidRPr="008958AB">
        <w:rPr>
          <w:rFonts w:hint="eastAsia"/>
          <w:bCs/>
          <w:color w:val="000000" w:themeColor="text1"/>
          <w:sz w:val="24"/>
        </w:rPr>
        <w:t>；</w:t>
      </w:r>
    </w:p>
    <w:p w14:paraId="339DAFAA"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4</w:t>
      </w:r>
      <w:r w:rsidRPr="008958AB">
        <w:rPr>
          <w:bCs/>
          <w:color w:val="000000" w:themeColor="text1"/>
          <w:sz w:val="24"/>
        </w:rPr>
        <w:t>.</w:t>
      </w:r>
      <w:r w:rsidRPr="008958AB">
        <w:rPr>
          <w:rFonts w:hint="eastAsia"/>
          <w:bCs/>
          <w:color w:val="000000" w:themeColor="text1"/>
          <w:sz w:val="24"/>
        </w:rPr>
        <w:t>本基金管理人</w:t>
      </w:r>
      <w:r w:rsidRPr="008958AB">
        <w:rPr>
          <w:rFonts w:hint="eastAsia"/>
          <w:bCs/>
          <w:sz w:val="24"/>
        </w:rPr>
        <w:t>且在本基金托管人处托管</w:t>
      </w:r>
      <w:r w:rsidRPr="008958AB">
        <w:rPr>
          <w:rFonts w:hint="eastAsia"/>
          <w:color w:val="000000" w:themeColor="text1"/>
          <w:sz w:val="24"/>
        </w:rPr>
        <w:t>的</w:t>
      </w:r>
      <w:r w:rsidRPr="008958AB">
        <w:rPr>
          <w:rFonts w:hint="eastAsia"/>
          <w:bCs/>
          <w:color w:val="000000" w:themeColor="text1"/>
          <w:sz w:val="24"/>
        </w:rPr>
        <w:t>管理的全部基金持有一家公司发行的证券（同一家公司在境内和香港同时上市的</w:t>
      </w:r>
      <w:r w:rsidRPr="008958AB">
        <w:rPr>
          <w:rFonts w:hint="eastAsia"/>
          <w:bCs/>
          <w:color w:val="000000" w:themeColor="text1"/>
          <w:sz w:val="24"/>
        </w:rPr>
        <w:t>A+H</w:t>
      </w:r>
      <w:r w:rsidRPr="008958AB">
        <w:rPr>
          <w:rFonts w:hint="eastAsia"/>
          <w:bCs/>
          <w:color w:val="000000" w:themeColor="text1"/>
          <w:sz w:val="24"/>
        </w:rPr>
        <w:t>股合计计算），不超过该证券的</w:t>
      </w:r>
      <w:r w:rsidRPr="008958AB">
        <w:rPr>
          <w:rFonts w:hint="eastAsia"/>
          <w:bCs/>
          <w:color w:val="000000" w:themeColor="text1"/>
          <w:sz w:val="24"/>
        </w:rPr>
        <w:t>10%</w:t>
      </w:r>
      <w:r w:rsidRPr="008958AB">
        <w:rPr>
          <w:rFonts w:hint="eastAsia"/>
          <w:bCs/>
          <w:color w:val="000000" w:themeColor="text1"/>
          <w:sz w:val="24"/>
        </w:rPr>
        <w:t>；</w:t>
      </w:r>
    </w:p>
    <w:p w14:paraId="268679BE"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5</w:t>
      </w:r>
      <w:r w:rsidRPr="008958AB">
        <w:rPr>
          <w:bCs/>
          <w:color w:val="000000" w:themeColor="text1"/>
          <w:sz w:val="24"/>
        </w:rPr>
        <w:t>.</w:t>
      </w:r>
      <w:r w:rsidRPr="008958AB">
        <w:rPr>
          <w:rFonts w:hint="eastAsia"/>
          <w:bCs/>
          <w:color w:val="000000" w:themeColor="text1"/>
          <w:sz w:val="24"/>
        </w:rPr>
        <w:t>本基金投资于同一原始权益人的各类资产支持证券的比例，不得超过基金资</w:t>
      </w:r>
      <w:r w:rsidRPr="008958AB">
        <w:rPr>
          <w:rFonts w:hint="eastAsia"/>
          <w:bCs/>
          <w:color w:val="000000" w:themeColor="text1"/>
          <w:sz w:val="24"/>
        </w:rPr>
        <w:lastRenderedPageBreak/>
        <w:t>产净值的</w:t>
      </w:r>
      <w:r w:rsidRPr="008958AB">
        <w:rPr>
          <w:rFonts w:hint="eastAsia"/>
          <w:bCs/>
          <w:color w:val="000000" w:themeColor="text1"/>
          <w:sz w:val="24"/>
        </w:rPr>
        <w:t>10%</w:t>
      </w:r>
      <w:r w:rsidRPr="008958AB">
        <w:rPr>
          <w:rFonts w:hint="eastAsia"/>
          <w:bCs/>
          <w:color w:val="000000" w:themeColor="text1"/>
          <w:sz w:val="24"/>
        </w:rPr>
        <w:t>；</w:t>
      </w:r>
    </w:p>
    <w:p w14:paraId="0FF9459E"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6</w:t>
      </w:r>
      <w:r w:rsidRPr="008958AB">
        <w:rPr>
          <w:bCs/>
          <w:color w:val="000000" w:themeColor="text1"/>
          <w:sz w:val="24"/>
        </w:rPr>
        <w:t>.</w:t>
      </w:r>
      <w:r w:rsidRPr="008958AB">
        <w:rPr>
          <w:rFonts w:hint="eastAsia"/>
          <w:bCs/>
          <w:color w:val="000000" w:themeColor="text1"/>
          <w:sz w:val="24"/>
        </w:rPr>
        <w:t>本基金持有的全部资产支持证券，其市值不得超过基金资产净值的</w:t>
      </w:r>
      <w:r w:rsidRPr="008958AB">
        <w:rPr>
          <w:rFonts w:hint="eastAsia"/>
          <w:bCs/>
          <w:color w:val="000000" w:themeColor="text1"/>
          <w:sz w:val="24"/>
        </w:rPr>
        <w:t>20%</w:t>
      </w:r>
      <w:r w:rsidRPr="008958AB">
        <w:rPr>
          <w:rFonts w:hint="eastAsia"/>
          <w:bCs/>
          <w:color w:val="000000" w:themeColor="text1"/>
          <w:sz w:val="24"/>
        </w:rPr>
        <w:t>；</w:t>
      </w:r>
    </w:p>
    <w:p w14:paraId="68F07ED6" w14:textId="61670AC4"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7</w:t>
      </w:r>
      <w:r w:rsidRPr="008958AB">
        <w:rPr>
          <w:bCs/>
          <w:color w:val="000000" w:themeColor="text1"/>
          <w:sz w:val="24"/>
        </w:rPr>
        <w:t>.</w:t>
      </w:r>
      <w:r w:rsidRPr="008958AB">
        <w:rPr>
          <w:rFonts w:hint="eastAsia"/>
          <w:bCs/>
          <w:color w:val="000000" w:themeColor="text1"/>
          <w:sz w:val="24"/>
        </w:rPr>
        <w:t>本基金持有的同一（指同一信用级别）资产支持证券的比例，不得超过该资产支持证券规模的</w:t>
      </w:r>
      <w:r w:rsidRPr="008958AB">
        <w:rPr>
          <w:rFonts w:hint="eastAsia"/>
          <w:bCs/>
          <w:color w:val="000000" w:themeColor="text1"/>
          <w:sz w:val="24"/>
        </w:rPr>
        <w:t>10%</w:t>
      </w:r>
      <w:r w:rsidRPr="008958AB">
        <w:rPr>
          <w:rFonts w:hint="eastAsia"/>
          <w:bCs/>
          <w:color w:val="000000" w:themeColor="text1"/>
          <w:sz w:val="24"/>
        </w:rPr>
        <w:t>；</w:t>
      </w:r>
    </w:p>
    <w:p w14:paraId="6D3EB9AC"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8</w:t>
      </w:r>
      <w:r w:rsidRPr="008958AB">
        <w:rPr>
          <w:bCs/>
          <w:color w:val="000000" w:themeColor="text1"/>
          <w:sz w:val="24"/>
        </w:rPr>
        <w:t>.</w:t>
      </w:r>
      <w:r w:rsidRPr="008958AB">
        <w:rPr>
          <w:rFonts w:hint="eastAsia"/>
          <w:bCs/>
          <w:color w:val="000000" w:themeColor="text1"/>
          <w:sz w:val="24"/>
        </w:rPr>
        <w:t>本基金管理人</w:t>
      </w:r>
      <w:r w:rsidRPr="008958AB">
        <w:rPr>
          <w:rFonts w:hint="eastAsia"/>
          <w:bCs/>
          <w:sz w:val="24"/>
        </w:rPr>
        <w:t>且在本基金托管人处托管</w:t>
      </w:r>
      <w:r w:rsidRPr="008958AB">
        <w:rPr>
          <w:rFonts w:hint="eastAsia"/>
          <w:color w:val="000000" w:themeColor="text1"/>
          <w:sz w:val="24"/>
        </w:rPr>
        <w:t>的</w:t>
      </w:r>
      <w:r w:rsidRPr="008958AB">
        <w:rPr>
          <w:rFonts w:hint="eastAsia"/>
          <w:bCs/>
          <w:color w:val="000000" w:themeColor="text1"/>
          <w:sz w:val="24"/>
        </w:rPr>
        <w:t>管理的全部基金投资于同一原始权益人的各类资产支持证券，不得超过其各类资产支持证券合计规模的</w:t>
      </w:r>
      <w:r w:rsidRPr="008958AB">
        <w:rPr>
          <w:rFonts w:hint="eastAsia"/>
          <w:bCs/>
          <w:color w:val="000000" w:themeColor="text1"/>
          <w:sz w:val="24"/>
        </w:rPr>
        <w:t>10%</w:t>
      </w:r>
      <w:r w:rsidRPr="008958AB">
        <w:rPr>
          <w:rFonts w:hint="eastAsia"/>
          <w:bCs/>
          <w:color w:val="000000" w:themeColor="text1"/>
          <w:sz w:val="24"/>
        </w:rPr>
        <w:t>；</w:t>
      </w:r>
    </w:p>
    <w:p w14:paraId="5208A834" w14:textId="43B61D8B"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9</w:t>
      </w:r>
      <w:r w:rsidRPr="008958AB">
        <w:rPr>
          <w:bCs/>
          <w:color w:val="000000" w:themeColor="text1"/>
          <w:sz w:val="24"/>
        </w:rPr>
        <w:t>.</w:t>
      </w:r>
      <w:r w:rsidRPr="008958AB">
        <w:rPr>
          <w:rFonts w:hint="eastAsia"/>
          <w:bCs/>
          <w:color w:val="000000" w:themeColor="text1"/>
          <w:sz w:val="24"/>
        </w:rPr>
        <w:t>本基金应投资于信用级别评级为</w:t>
      </w:r>
      <w:r w:rsidRPr="008958AB">
        <w:rPr>
          <w:rFonts w:hint="eastAsia"/>
          <w:bCs/>
          <w:color w:val="000000" w:themeColor="text1"/>
          <w:sz w:val="24"/>
        </w:rPr>
        <w:t>BBB</w:t>
      </w:r>
      <w:r w:rsidRPr="008958AB">
        <w:rPr>
          <w:rFonts w:hint="eastAsia"/>
          <w:bCs/>
          <w:color w:val="000000" w:themeColor="text1"/>
          <w:sz w:val="24"/>
        </w:rPr>
        <w:t>以上（含</w:t>
      </w:r>
      <w:r w:rsidRPr="008958AB">
        <w:rPr>
          <w:rFonts w:hint="eastAsia"/>
          <w:bCs/>
          <w:color w:val="000000" w:themeColor="text1"/>
          <w:sz w:val="24"/>
        </w:rPr>
        <w:t>BBB</w:t>
      </w:r>
      <w:r w:rsidRPr="008958AB">
        <w:rPr>
          <w:rFonts w:hint="eastAsia"/>
          <w:bCs/>
          <w:color w:val="000000" w:themeColor="text1"/>
          <w:sz w:val="24"/>
        </w:rPr>
        <w:t>）的资产支持证券。基金持有资产支持证券期间，如果其信用等级下降、不再符合投资标准，应在评级报告发布之日起</w:t>
      </w:r>
      <w:r w:rsidRPr="008958AB">
        <w:rPr>
          <w:rFonts w:hint="eastAsia"/>
          <w:bCs/>
          <w:color w:val="000000" w:themeColor="text1"/>
          <w:sz w:val="24"/>
        </w:rPr>
        <w:t>3</w:t>
      </w:r>
      <w:r w:rsidRPr="008958AB">
        <w:rPr>
          <w:rFonts w:hint="eastAsia"/>
          <w:bCs/>
          <w:color w:val="000000" w:themeColor="text1"/>
          <w:sz w:val="24"/>
        </w:rPr>
        <w:t>个月内予以全部卖出；</w:t>
      </w:r>
    </w:p>
    <w:p w14:paraId="3129B127"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bCs/>
          <w:color w:val="000000" w:themeColor="text1"/>
          <w:sz w:val="24"/>
        </w:rPr>
        <w:t>0.</w:t>
      </w:r>
      <w:r w:rsidRPr="008958AB">
        <w:rPr>
          <w:rFonts w:hint="eastAsia"/>
          <w:bCs/>
          <w:color w:val="000000" w:themeColor="text1"/>
          <w:sz w:val="24"/>
        </w:rPr>
        <w:t>基金财产参与股票发行申购，本基金所申报的金额不超过本基金的总资产，本基金所申报的股票数量不超过拟发行股票公司本次发行股票的总量；</w:t>
      </w:r>
    </w:p>
    <w:p w14:paraId="277DEBFA"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bCs/>
          <w:color w:val="000000" w:themeColor="text1"/>
          <w:sz w:val="24"/>
        </w:rPr>
        <w:t>1.</w:t>
      </w:r>
      <w:r w:rsidRPr="008958AB">
        <w:rPr>
          <w:rFonts w:hint="eastAsia"/>
          <w:bCs/>
          <w:color w:val="000000" w:themeColor="text1"/>
          <w:sz w:val="24"/>
        </w:rPr>
        <w:t>本基金进行债券回购的最长期限为</w:t>
      </w:r>
      <w:r w:rsidRPr="008958AB">
        <w:rPr>
          <w:rFonts w:hint="eastAsia"/>
          <w:bCs/>
          <w:color w:val="000000" w:themeColor="text1"/>
          <w:sz w:val="24"/>
        </w:rPr>
        <w:t>1</w:t>
      </w:r>
      <w:r w:rsidRPr="008958AB">
        <w:rPr>
          <w:rFonts w:hint="eastAsia"/>
          <w:bCs/>
          <w:color w:val="000000" w:themeColor="text1"/>
          <w:sz w:val="24"/>
        </w:rPr>
        <w:t>年；</w:t>
      </w:r>
    </w:p>
    <w:p w14:paraId="24D2A240"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bCs/>
          <w:color w:val="000000" w:themeColor="text1"/>
          <w:sz w:val="24"/>
        </w:rPr>
        <w:t>2.</w:t>
      </w:r>
      <w:r w:rsidRPr="008958AB">
        <w:rPr>
          <w:rFonts w:hint="eastAsia"/>
          <w:bCs/>
          <w:color w:val="000000" w:themeColor="text1"/>
          <w:sz w:val="24"/>
        </w:rPr>
        <w:t>在任何交易日日终，持有的买入股指期货合约价值，不得超过基金资产净值的</w:t>
      </w:r>
      <w:r w:rsidRPr="008958AB">
        <w:rPr>
          <w:rFonts w:hint="eastAsia"/>
          <w:bCs/>
          <w:color w:val="000000" w:themeColor="text1"/>
          <w:sz w:val="24"/>
        </w:rPr>
        <w:t>10%</w:t>
      </w:r>
      <w:r w:rsidRPr="008958AB">
        <w:rPr>
          <w:rFonts w:hint="eastAsia"/>
          <w:bCs/>
          <w:color w:val="000000" w:themeColor="text1"/>
          <w:sz w:val="24"/>
        </w:rPr>
        <w:t>；在任何交易日日终，持有的卖出股指期货合约价值不得超过基金持有的股票总市值的</w:t>
      </w:r>
      <w:r w:rsidRPr="008958AB">
        <w:rPr>
          <w:rFonts w:hint="eastAsia"/>
          <w:bCs/>
          <w:color w:val="000000" w:themeColor="text1"/>
          <w:sz w:val="24"/>
        </w:rPr>
        <w:t>20%</w:t>
      </w:r>
      <w:r w:rsidRPr="008958AB">
        <w:rPr>
          <w:rFonts w:hint="eastAsia"/>
          <w:bCs/>
          <w:color w:val="000000" w:themeColor="text1"/>
          <w:sz w:val="24"/>
        </w:rPr>
        <w:t>；在任何交易日内交易（不包括平仓）的股指期货合约的成交金额不得超过上一交易日基金资产净值的</w:t>
      </w:r>
      <w:r w:rsidRPr="008958AB">
        <w:rPr>
          <w:rFonts w:hint="eastAsia"/>
          <w:bCs/>
          <w:color w:val="000000" w:themeColor="text1"/>
          <w:sz w:val="24"/>
        </w:rPr>
        <w:t>20%</w:t>
      </w:r>
      <w:r w:rsidRPr="008958AB">
        <w:rPr>
          <w:rFonts w:hint="eastAsia"/>
          <w:bCs/>
          <w:color w:val="000000" w:themeColor="text1"/>
          <w:sz w:val="24"/>
        </w:rPr>
        <w:t>；所持有的股票市值和买入、卖出股指期货合约价值，合计（轧差计算）应当符合基金合同关于股票投资比例的有关约定；</w:t>
      </w:r>
    </w:p>
    <w:p w14:paraId="3FA72F37" w14:textId="3C9830BE"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bCs/>
          <w:color w:val="000000" w:themeColor="text1"/>
          <w:sz w:val="24"/>
        </w:rPr>
        <w:t>3.</w:t>
      </w:r>
      <w:r w:rsidRPr="008958AB">
        <w:rPr>
          <w:rFonts w:hint="eastAsia"/>
          <w:bCs/>
          <w:color w:val="000000" w:themeColor="text1"/>
          <w:sz w:val="24"/>
        </w:rPr>
        <w:t>在任何交易日日终，持有的买入国债期货合约价值，不得超过基金资产净值的</w:t>
      </w:r>
      <w:r w:rsidRPr="008958AB">
        <w:rPr>
          <w:rFonts w:hint="eastAsia"/>
          <w:bCs/>
          <w:color w:val="000000" w:themeColor="text1"/>
          <w:sz w:val="24"/>
        </w:rPr>
        <w:t>15%</w:t>
      </w:r>
      <w:r w:rsidRPr="008958AB">
        <w:rPr>
          <w:rFonts w:hint="eastAsia"/>
          <w:bCs/>
          <w:color w:val="000000" w:themeColor="text1"/>
          <w:sz w:val="24"/>
        </w:rPr>
        <w:t>；在任何交易日日终，持有的卖出国债期货合约价值不得超过基金持有的债券总市值的</w:t>
      </w:r>
      <w:r w:rsidRPr="008958AB">
        <w:rPr>
          <w:rFonts w:hint="eastAsia"/>
          <w:bCs/>
          <w:color w:val="000000" w:themeColor="text1"/>
          <w:sz w:val="24"/>
        </w:rPr>
        <w:t>30%</w:t>
      </w:r>
      <w:r w:rsidRPr="008958AB">
        <w:rPr>
          <w:rFonts w:hint="eastAsia"/>
          <w:bCs/>
          <w:color w:val="000000" w:themeColor="text1"/>
          <w:sz w:val="24"/>
        </w:rPr>
        <w:t>；在任何交易日内交易（不包括平仓）的国债期货合约的成交金额不得超过上一交易日基金资产净值的</w:t>
      </w:r>
      <w:r w:rsidRPr="008958AB">
        <w:rPr>
          <w:rFonts w:hint="eastAsia"/>
          <w:bCs/>
          <w:color w:val="000000" w:themeColor="text1"/>
          <w:sz w:val="24"/>
        </w:rPr>
        <w:t>30%</w:t>
      </w:r>
      <w:r w:rsidRPr="008958AB">
        <w:rPr>
          <w:rFonts w:hint="eastAsia"/>
          <w:bCs/>
          <w:color w:val="000000" w:themeColor="text1"/>
          <w:sz w:val="24"/>
        </w:rPr>
        <w:t>；</w:t>
      </w:r>
    </w:p>
    <w:p w14:paraId="0BCB3324"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bCs/>
          <w:color w:val="000000" w:themeColor="text1"/>
          <w:sz w:val="24"/>
        </w:rPr>
        <w:t>4.</w:t>
      </w:r>
      <w:r w:rsidRPr="008958AB">
        <w:rPr>
          <w:rFonts w:hint="eastAsia"/>
          <w:bCs/>
          <w:color w:val="000000" w:themeColor="text1"/>
          <w:sz w:val="24"/>
        </w:rPr>
        <w:t>本基金参与股指期货交易、国债期货交易后，本基金任何交易日日终，持有的买入国债期货和股指期货合约价值与有价证券市值之和，不得超过基金资产净值的</w:t>
      </w:r>
      <w:r w:rsidRPr="008958AB">
        <w:rPr>
          <w:rFonts w:hint="eastAsia"/>
          <w:bCs/>
          <w:color w:val="000000" w:themeColor="text1"/>
          <w:sz w:val="24"/>
        </w:rPr>
        <w:t>95%</w:t>
      </w:r>
      <w:r w:rsidRPr="008958AB">
        <w:rPr>
          <w:rFonts w:hint="eastAsia"/>
          <w:bCs/>
          <w:color w:val="000000" w:themeColor="text1"/>
          <w:sz w:val="24"/>
        </w:rPr>
        <w:t>。其中，有价证券指股票、债券（不含到期日在一年以内的政府债券）、资产支持证券、买入返售金融资产（不含质押式回购）等；</w:t>
      </w:r>
    </w:p>
    <w:p w14:paraId="0D759D9C"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bCs/>
          <w:color w:val="000000" w:themeColor="text1"/>
          <w:sz w:val="24"/>
        </w:rPr>
        <w:t>5.</w:t>
      </w:r>
      <w:r w:rsidRPr="008958AB">
        <w:rPr>
          <w:rFonts w:hint="eastAsia"/>
          <w:bCs/>
          <w:color w:val="000000" w:themeColor="text1"/>
          <w:sz w:val="24"/>
        </w:rPr>
        <w:t>本基金参与股票期权交易后，则需遵守下列投资比例限制：</w:t>
      </w:r>
    </w:p>
    <w:p w14:paraId="5BC5E835" w14:textId="7207EE6F"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rFonts w:hint="eastAsia"/>
          <w:bCs/>
          <w:color w:val="000000" w:themeColor="text1"/>
          <w:sz w:val="24"/>
        </w:rPr>
        <w:t>）基金因未平仓的期权合约支付和收取的权利金总额不得超过基金资产净值的</w:t>
      </w:r>
      <w:r w:rsidRPr="008958AB">
        <w:rPr>
          <w:rFonts w:hint="eastAsia"/>
          <w:bCs/>
          <w:color w:val="000000" w:themeColor="text1"/>
          <w:sz w:val="24"/>
        </w:rPr>
        <w:t>10%</w:t>
      </w:r>
      <w:r w:rsidRPr="008958AB">
        <w:rPr>
          <w:rFonts w:hint="eastAsia"/>
          <w:bCs/>
          <w:color w:val="000000" w:themeColor="text1"/>
          <w:sz w:val="24"/>
        </w:rPr>
        <w:t>；</w:t>
      </w:r>
      <w:r w:rsidR="00B40DE4" w:rsidRPr="008958AB" w:rsidDel="00B40DE4">
        <w:rPr>
          <w:bCs/>
          <w:color w:val="000000" w:themeColor="text1"/>
          <w:sz w:val="24"/>
        </w:rPr>
        <w:t xml:space="preserve"> </w:t>
      </w:r>
    </w:p>
    <w:p w14:paraId="48D491CA" w14:textId="35530D70" w:rsidR="00B438AF" w:rsidRPr="008958AB" w:rsidRDefault="00B40DE4">
      <w:pPr>
        <w:spacing w:line="360" w:lineRule="auto"/>
        <w:ind w:firstLineChars="200" w:firstLine="480"/>
        <w:rPr>
          <w:bCs/>
          <w:color w:val="000000" w:themeColor="text1"/>
          <w:sz w:val="24"/>
        </w:rPr>
      </w:pPr>
      <w:r w:rsidRPr="008958AB">
        <w:rPr>
          <w:bCs/>
          <w:color w:val="000000" w:themeColor="text1"/>
          <w:sz w:val="24"/>
        </w:rPr>
        <w:t>2</w:t>
      </w:r>
      <w:r w:rsidR="006C47E3" w:rsidRPr="008958AB">
        <w:rPr>
          <w:rFonts w:hint="eastAsia"/>
          <w:bCs/>
          <w:color w:val="000000" w:themeColor="text1"/>
          <w:sz w:val="24"/>
        </w:rPr>
        <w:t>）未平仓的期权合约面值不得超过基金资产净值的</w:t>
      </w:r>
      <w:r w:rsidR="006C47E3" w:rsidRPr="008958AB">
        <w:rPr>
          <w:rFonts w:hint="eastAsia"/>
          <w:bCs/>
          <w:color w:val="000000" w:themeColor="text1"/>
          <w:sz w:val="24"/>
        </w:rPr>
        <w:t>20%</w:t>
      </w:r>
      <w:r w:rsidR="006C47E3" w:rsidRPr="008958AB">
        <w:rPr>
          <w:rFonts w:hint="eastAsia"/>
          <w:bCs/>
          <w:color w:val="000000" w:themeColor="text1"/>
          <w:sz w:val="24"/>
        </w:rPr>
        <w:t>。其中，合约面值按</w:t>
      </w:r>
      <w:r w:rsidR="006C47E3" w:rsidRPr="008958AB">
        <w:rPr>
          <w:rFonts w:hint="eastAsia"/>
          <w:bCs/>
          <w:color w:val="000000" w:themeColor="text1"/>
          <w:sz w:val="24"/>
        </w:rPr>
        <w:lastRenderedPageBreak/>
        <w:t>照行权价乘以合约乘数计算；</w:t>
      </w:r>
    </w:p>
    <w:p w14:paraId="1DE9C94D" w14:textId="4E3757EE"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bCs/>
          <w:color w:val="000000" w:themeColor="text1"/>
          <w:sz w:val="24"/>
        </w:rPr>
        <w:t>6.</w:t>
      </w:r>
      <w:r w:rsidRPr="008958AB">
        <w:rPr>
          <w:rFonts w:hint="eastAsia"/>
          <w:bCs/>
          <w:color w:val="000000" w:themeColor="text1"/>
          <w:sz w:val="24"/>
        </w:rPr>
        <w:t>本</w:t>
      </w:r>
      <w:proofErr w:type="gramStart"/>
      <w:r w:rsidRPr="008958AB">
        <w:rPr>
          <w:rFonts w:hint="eastAsia"/>
          <w:bCs/>
          <w:color w:val="000000" w:themeColor="text1"/>
          <w:sz w:val="24"/>
        </w:rPr>
        <w:t>基金基金</w:t>
      </w:r>
      <w:proofErr w:type="gramEnd"/>
      <w:r w:rsidRPr="008958AB">
        <w:rPr>
          <w:rFonts w:hint="eastAsia"/>
          <w:bCs/>
          <w:color w:val="000000" w:themeColor="text1"/>
          <w:sz w:val="24"/>
        </w:rPr>
        <w:t>资产总值不得超过基金资产净值的</w:t>
      </w:r>
      <w:r w:rsidRPr="008958AB">
        <w:rPr>
          <w:rFonts w:hint="eastAsia"/>
          <w:bCs/>
          <w:color w:val="000000" w:themeColor="text1"/>
          <w:sz w:val="24"/>
        </w:rPr>
        <w:t>140%</w:t>
      </w:r>
      <w:r w:rsidRPr="008958AB">
        <w:rPr>
          <w:rFonts w:hint="eastAsia"/>
          <w:bCs/>
          <w:color w:val="000000" w:themeColor="text1"/>
          <w:sz w:val="24"/>
        </w:rPr>
        <w:t>；</w:t>
      </w:r>
    </w:p>
    <w:p w14:paraId="2CDC5D6D" w14:textId="3C3521EC"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bCs/>
          <w:color w:val="000000" w:themeColor="text1"/>
          <w:sz w:val="24"/>
        </w:rPr>
        <w:t>7.</w:t>
      </w:r>
      <w:r w:rsidRPr="008958AB">
        <w:rPr>
          <w:rFonts w:hint="eastAsia"/>
          <w:bCs/>
          <w:color w:val="000000" w:themeColor="text1"/>
          <w:sz w:val="24"/>
        </w:rPr>
        <w:t>本基金管理人管理的</w:t>
      </w:r>
      <w:r w:rsidRPr="008958AB">
        <w:rPr>
          <w:rFonts w:hint="eastAsia"/>
          <w:bCs/>
          <w:sz w:val="24"/>
        </w:rPr>
        <w:t>且在本基金托管人处托管</w:t>
      </w:r>
      <w:r w:rsidRPr="008958AB">
        <w:rPr>
          <w:rFonts w:hint="eastAsia"/>
          <w:color w:val="000000" w:themeColor="text1"/>
          <w:sz w:val="24"/>
        </w:rPr>
        <w:t>的</w:t>
      </w:r>
      <w:r w:rsidRPr="008958AB">
        <w:rPr>
          <w:rFonts w:hint="eastAsia"/>
          <w:bCs/>
          <w:color w:val="000000" w:themeColor="text1"/>
          <w:sz w:val="24"/>
        </w:rPr>
        <w:t>全部开放式基金持有一家上市公司发行的可流通股票，不得超过该上市公司可流通股票的</w:t>
      </w:r>
      <w:r w:rsidRPr="008958AB">
        <w:rPr>
          <w:rFonts w:hint="eastAsia"/>
          <w:bCs/>
          <w:color w:val="000000" w:themeColor="text1"/>
          <w:sz w:val="24"/>
        </w:rPr>
        <w:t>15%</w:t>
      </w:r>
      <w:r w:rsidRPr="008958AB">
        <w:rPr>
          <w:rFonts w:hint="eastAsia"/>
          <w:bCs/>
          <w:color w:val="000000" w:themeColor="text1"/>
          <w:sz w:val="24"/>
        </w:rPr>
        <w:t>；本基金管理人管理的</w:t>
      </w:r>
      <w:r w:rsidRPr="008958AB">
        <w:rPr>
          <w:rFonts w:hint="eastAsia"/>
          <w:bCs/>
          <w:sz w:val="24"/>
        </w:rPr>
        <w:t>且在本基金托管人处托管</w:t>
      </w:r>
      <w:r w:rsidRPr="008958AB">
        <w:rPr>
          <w:rFonts w:hint="eastAsia"/>
          <w:color w:val="000000" w:themeColor="text1"/>
          <w:sz w:val="24"/>
        </w:rPr>
        <w:t>的</w:t>
      </w:r>
      <w:r w:rsidRPr="008958AB">
        <w:rPr>
          <w:rFonts w:hint="eastAsia"/>
          <w:bCs/>
          <w:color w:val="000000" w:themeColor="text1"/>
          <w:sz w:val="24"/>
        </w:rPr>
        <w:t>全部投资组合持有一家上市公司发行的可流通股票，不得超过该上市公司可流通股票的</w:t>
      </w:r>
      <w:r w:rsidRPr="008958AB">
        <w:rPr>
          <w:rFonts w:hint="eastAsia"/>
          <w:bCs/>
          <w:color w:val="000000" w:themeColor="text1"/>
          <w:sz w:val="24"/>
        </w:rPr>
        <w:t>30%</w:t>
      </w:r>
      <w:r w:rsidRPr="008958AB">
        <w:rPr>
          <w:rFonts w:hint="eastAsia"/>
          <w:bCs/>
          <w:color w:val="000000" w:themeColor="text1"/>
          <w:sz w:val="24"/>
        </w:rPr>
        <w:t>；</w:t>
      </w:r>
    </w:p>
    <w:p w14:paraId="167E28D8" w14:textId="5D633A1E"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1</w:t>
      </w:r>
      <w:r w:rsidRPr="008958AB">
        <w:rPr>
          <w:bCs/>
          <w:color w:val="000000" w:themeColor="text1"/>
          <w:sz w:val="24"/>
        </w:rPr>
        <w:t>8.</w:t>
      </w:r>
      <w:r w:rsidRPr="008958AB">
        <w:rPr>
          <w:rFonts w:hint="eastAsia"/>
          <w:bCs/>
          <w:color w:val="000000" w:themeColor="text1"/>
          <w:sz w:val="24"/>
        </w:rPr>
        <w:t>本基金主动投资于流动性受限资产的市值合计不得超过基金资产净值的</w:t>
      </w:r>
      <w:r w:rsidRPr="008958AB">
        <w:rPr>
          <w:rFonts w:hint="eastAsia"/>
          <w:bCs/>
          <w:color w:val="000000" w:themeColor="text1"/>
          <w:sz w:val="24"/>
        </w:rPr>
        <w:t>15%</w:t>
      </w:r>
      <w:r w:rsidRPr="008958AB">
        <w:rPr>
          <w:rFonts w:hint="eastAsia"/>
          <w:bCs/>
          <w:color w:val="000000" w:themeColor="text1"/>
          <w:sz w:val="24"/>
        </w:rPr>
        <w:t>；因证券</w:t>
      </w:r>
      <w:r w:rsidRPr="008958AB">
        <w:rPr>
          <w:rFonts w:hint="eastAsia"/>
          <w:bCs/>
          <w:color w:val="000000" w:themeColor="text1"/>
          <w:sz w:val="24"/>
        </w:rPr>
        <w:t>/</w:t>
      </w:r>
      <w:r w:rsidRPr="008958AB">
        <w:rPr>
          <w:rFonts w:hint="eastAsia"/>
          <w:bCs/>
          <w:color w:val="000000" w:themeColor="text1"/>
          <w:sz w:val="24"/>
        </w:rPr>
        <w:t>期货市场波动、上市公司股票停牌、基金规模变动等基金管理人之外的因素致使基金不符合该比例限制的，本基金管理人不得主动新增流动性受限资产的投资；</w:t>
      </w:r>
    </w:p>
    <w:p w14:paraId="42402D15" w14:textId="7CC04A0F" w:rsidR="00B438AF" w:rsidRPr="008958AB" w:rsidRDefault="00B40DE4">
      <w:pPr>
        <w:spacing w:line="360" w:lineRule="auto"/>
        <w:ind w:firstLineChars="200" w:firstLine="480"/>
        <w:rPr>
          <w:bCs/>
          <w:color w:val="000000" w:themeColor="text1"/>
          <w:sz w:val="24"/>
        </w:rPr>
      </w:pPr>
      <w:r w:rsidRPr="008958AB">
        <w:rPr>
          <w:bCs/>
          <w:color w:val="000000" w:themeColor="text1"/>
          <w:sz w:val="24"/>
        </w:rPr>
        <w:t>19</w:t>
      </w:r>
      <w:r w:rsidR="006C47E3" w:rsidRPr="008958AB">
        <w:rPr>
          <w:rFonts w:hint="eastAsia"/>
          <w:bCs/>
          <w:color w:val="000000" w:themeColor="text1"/>
          <w:sz w:val="24"/>
        </w:rPr>
        <w:t>．本基金参与融资的，在任何交易日日终，本基金持有的融资买入股票与其他有价证券市值之和，不得超过基金资产净值的</w:t>
      </w:r>
      <w:r w:rsidR="006C47E3" w:rsidRPr="008958AB">
        <w:rPr>
          <w:rFonts w:hint="eastAsia"/>
          <w:bCs/>
          <w:color w:val="000000" w:themeColor="text1"/>
          <w:sz w:val="24"/>
        </w:rPr>
        <w:t>95%</w:t>
      </w:r>
      <w:r w:rsidR="006C47E3" w:rsidRPr="008958AB">
        <w:rPr>
          <w:rFonts w:hint="eastAsia"/>
          <w:bCs/>
          <w:color w:val="000000" w:themeColor="text1"/>
          <w:sz w:val="24"/>
        </w:rPr>
        <w:t>；</w:t>
      </w:r>
    </w:p>
    <w:p w14:paraId="330E559F" w14:textId="274F874C" w:rsidR="00B438AF" w:rsidRPr="008958AB" w:rsidRDefault="006C47E3">
      <w:pPr>
        <w:spacing w:line="360" w:lineRule="auto"/>
        <w:ind w:firstLineChars="200" w:firstLine="480"/>
        <w:rPr>
          <w:bCs/>
          <w:color w:val="000000" w:themeColor="text1"/>
          <w:sz w:val="24"/>
        </w:rPr>
      </w:pPr>
      <w:r w:rsidRPr="008958AB">
        <w:rPr>
          <w:bCs/>
          <w:color w:val="000000" w:themeColor="text1"/>
          <w:sz w:val="24"/>
        </w:rPr>
        <w:t>2</w:t>
      </w:r>
      <w:r w:rsidR="00B40DE4" w:rsidRPr="008958AB">
        <w:rPr>
          <w:bCs/>
          <w:color w:val="000000" w:themeColor="text1"/>
          <w:sz w:val="24"/>
        </w:rPr>
        <w:t>0</w:t>
      </w:r>
      <w:r w:rsidRPr="008958AB">
        <w:rPr>
          <w:bCs/>
          <w:color w:val="000000" w:themeColor="text1"/>
          <w:sz w:val="24"/>
        </w:rPr>
        <w:t>.</w:t>
      </w:r>
      <w:r w:rsidRPr="008958AB">
        <w:rPr>
          <w:rFonts w:hint="eastAsia"/>
          <w:bCs/>
          <w:color w:val="000000" w:themeColor="text1"/>
          <w:sz w:val="24"/>
        </w:rPr>
        <w:t>本基金投资存托凭证的比例限制依照境内上市交易的股票执行，与境内上市交易的股票合并计算；</w:t>
      </w:r>
    </w:p>
    <w:p w14:paraId="47F78A2E" w14:textId="58725CD2"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2</w:t>
      </w:r>
      <w:r w:rsidR="00B40DE4" w:rsidRPr="008958AB">
        <w:rPr>
          <w:bCs/>
          <w:color w:val="000000" w:themeColor="text1"/>
          <w:sz w:val="24"/>
        </w:rPr>
        <w:t>1</w:t>
      </w:r>
      <w:r w:rsidRPr="008958AB">
        <w:rPr>
          <w:bCs/>
          <w:color w:val="000000" w:themeColor="text1"/>
          <w:sz w:val="24"/>
        </w:rPr>
        <w:t>.</w:t>
      </w:r>
      <w:r w:rsidRPr="008958AB">
        <w:rPr>
          <w:rFonts w:hint="eastAsia"/>
          <w:bCs/>
          <w:color w:val="000000" w:themeColor="text1"/>
          <w:sz w:val="24"/>
        </w:rPr>
        <w:t>法律法规及中国证监会规定的和《基金合同》约定的其他投资限制。</w:t>
      </w:r>
    </w:p>
    <w:p w14:paraId="0EB2D1D8" w14:textId="2C9BB239" w:rsidR="00B438AF" w:rsidRPr="008958AB" w:rsidRDefault="006C47E3">
      <w:pPr>
        <w:spacing w:line="360" w:lineRule="auto"/>
        <w:ind w:firstLine="480"/>
        <w:rPr>
          <w:bCs/>
          <w:color w:val="000000" w:themeColor="text1"/>
          <w:sz w:val="24"/>
        </w:rPr>
      </w:pPr>
      <w:r w:rsidRPr="008958AB">
        <w:rPr>
          <w:rFonts w:hint="eastAsia"/>
          <w:bCs/>
          <w:color w:val="000000" w:themeColor="text1"/>
          <w:sz w:val="24"/>
        </w:rPr>
        <w:t>除上述第</w:t>
      </w:r>
      <w:r w:rsidRPr="008958AB">
        <w:rPr>
          <w:rFonts w:hint="eastAsia"/>
          <w:bCs/>
          <w:color w:val="000000" w:themeColor="text1"/>
          <w:sz w:val="24"/>
        </w:rPr>
        <w:t>2</w:t>
      </w:r>
      <w:r w:rsidRPr="008958AB">
        <w:rPr>
          <w:rFonts w:hint="eastAsia"/>
          <w:bCs/>
          <w:color w:val="000000" w:themeColor="text1"/>
          <w:sz w:val="24"/>
        </w:rPr>
        <w:t>、</w:t>
      </w:r>
      <w:r w:rsidRPr="008958AB">
        <w:rPr>
          <w:rFonts w:hint="eastAsia"/>
          <w:bCs/>
          <w:color w:val="000000" w:themeColor="text1"/>
          <w:sz w:val="24"/>
        </w:rPr>
        <w:t>9</w:t>
      </w:r>
      <w:r w:rsidRPr="008958AB">
        <w:rPr>
          <w:rFonts w:hint="eastAsia"/>
          <w:bCs/>
          <w:color w:val="000000" w:themeColor="text1"/>
          <w:sz w:val="24"/>
        </w:rPr>
        <w:t>、</w:t>
      </w:r>
      <w:r w:rsidRPr="008958AB">
        <w:rPr>
          <w:rFonts w:hint="eastAsia"/>
          <w:bCs/>
          <w:color w:val="000000" w:themeColor="text1"/>
          <w:sz w:val="24"/>
        </w:rPr>
        <w:t>1</w:t>
      </w:r>
      <w:r w:rsidRPr="008958AB">
        <w:rPr>
          <w:bCs/>
          <w:color w:val="000000" w:themeColor="text1"/>
          <w:sz w:val="24"/>
        </w:rPr>
        <w:t>8</w:t>
      </w:r>
      <w:r w:rsidRPr="008958AB">
        <w:rPr>
          <w:rFonts w:hint="eastAsia"/>
          <w:bCs/>
          <w:color w:val="000000" w:themeColor="text1"/>
          <w:sz w:val="24"/>
        </w:rPr>
        <w:t>情形之外，因证券</w:t>
      </w:r>
      <w:r w:rsidRPr="008958AB">
        <w:rPr>
          <w:rFonts w:hint="eastAsia"/>
          <w:bCs/>
          <w:color w:val="000000" w:themeColor="text1"/>
          <w:sz w:val="24"/>
        </w:rPr>
        <w:t>/</w:t>
      </w:r>
      <w:r w:rsidRPr="008958AB">
        <w:rPr>
          <w:rFonts w:hint="eastAsia"/>
          <w:bCs/>
          <w:color w:val="000000" w:themeColor="text1"/>
          <w:sz w:val="24"/>
        </w:rPr>
        <w:t>期货市场波动、证券发行人合并、基金规模变动等基金管理人之外的因素致使基金投资比例不符合上述规定投资比例的，基金管理人应当在</w:t>
      </w:r>
      <w:r w:rsidRPr="008958AB">
        <w:rPr>
          <w:rFonts w:hint="eastAsia"/>
          <w:bCs/>
          <w:color w:val="000000" w:themeColor="text1"/>
          <w:sz w:val="24"/>
        </w:rPr>
        <w:t>10</w:t>
      </w:r>
      <w:r w:rsidRPr="008958AB">
        <w:rPr>
          <w:rFonts w:hint="eastAsia"/>
          <w:bCs/>
          <w:color w:val="000000" w:themeColor="text1"/>
          <w:sz w:val="24"/>
        </w:rPr>
        <w:t>个交易日内进行调整，但法律法规或中国证监会规定的特殊情形除外。</w:t>
      </w:r>
    </w:p>
    <w:p w14:paraId="7D290BFB" w14:textId="77777777" w:rsidR="00B438AF" w:rsidRPr="008958AB" w:rsidRDefault="006C47E3">
      <w:pPr>
        <w:spacing w:line="360" w:lineRule="auto"/>
        <w:ind w:firstLine="480"/>
        <w:rPr>
          <w:bCs/>
          <w:color w:val="000000" w:themeColor="text1"/>
          <w:sz w:val="24"/>
        </w:rPr>
      </w:pPr>
      <w:r w:rsidRPr="008958AB">
        <w:rPr>
          <w:rFonts w:hint="eastAsia"/>
          <w:bCs/>
          <w:color w:val="000000" w:themeColor="text1"/>
          <w:sz w:val="24"/>
        </w:rPr>
        <w:t>基金管理人应当自基金合同生效之日起</w:t>
      </w:r>
      <w:r w:rsidRPr="008958AB">
        <w:rPr>
          <w:bCs/>
          <w:color w:val="000000" w:themeColor="text1"/>
          <w:sz w:val="24"/>
        </w:rPr>
        <w:t>6</w:t>
      </w:r>
      <w:r w:rsidRPr="008958AB">
        <w:rPr>
          <w:rFonts w:hint="eastAsia"/>
          <w:bCs/>
          <w:color w:val="000000" w:themeColor="text1"/>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2ABD8516"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法律法规或监管部门取消或变更上述限制，如适用于本基金，基金管理人在履行适当程序后，本基金投资不再受相关限制或以变更后的规定为准。</w:t>
      </w:r>
    </w:p>
    <w:p w14:paraId="43A75BDB"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（三）基金托管人</w:t>
      </w:r>
      <w:bookmarkStart w:id="4" w:name="OLE_LINK1"/>
      <w:r w:rsidRPr="008958AB">
        <w:rPr>
          <w:rFonts w:hint="eastAsia"/>
          <w:bCs/>
          <w:color w:val="000000" w:themeColor="text1"/>
          <w:sz w:val="24"/>
        </w:rPr>
        <w:t>根据有关法律法规的规定及《基金合同》的约定，</w:t>
      </w:r>
      <w:bookmarkEnd w:id="4"/>
      <w:r w:rsidRPr="008958AB">
        <w:rPr>
          <w:rFonts w:hint="eastAsia"/>
          <w:bCs/>
          <w:color w:val="000000" w:themeColor="text1"/>
          <w:sz w:val="24"/>
        </w:rPr>
        <w:t>对本托管协议第十五条第（九）</w:t>
      </w:r>
      <w:proofErr w:type="gramStart"/>
      <w:r w:rsidRPr="008958AB">
        <w:rPr>
          <w:rFonts w:hint="eastAsia"/>
          <w:bCs/>
          <w:color w:val="000000" w:themeColor="text1"/>
          <w:sz w:val="24"/>
        </w:rPr>
        <w:t>款基金</w:t>
      </w:r>
      <w:proofErr w:type="gramEnd"/>
      <w:r w:rsidRPr="008958AB">
        <w:rPr>
          <w:rFonts w:hint="eastAsia"/>
          <w:bCs/>
          <w:color w:val="000000" w:themeColor="text1"/>
          <w:sz w:val="24"/>
        </w:rPr>
        <w:t>投资禁止行为通过事后监督方式进行监督。</w:t>
      </w:r>
    </w:p>
    <w:p w14:paraId="067BC99D"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基金管理人运用基金财产买卖基金管理人、基金托管人及其控股股东、实际控制人或者与其有其他重大利害关系的公司发行的证券或者承销期内承销的证券，或者从事其他重大关联交易的，应当符合本基金的投资目标和投资策略，遵循基金</w:t>
      </w:r>
      <w:r w:rsidRPr="008958AB">
        <w:rPr>
          <w:rFonts w:hint="eastAsia"/>
          <w:bCs/>
          <w:color w:val="000000" w:themeColor="text1"/>
          <w:sz w:val="24"/>
        </w:rPr>
        <w:lastRenderedPageBreak/>
        <w:t>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F23279"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（四）基金托管人根据有关法律法规的规定及《基金合同》的约定，对基金管理人投资流通受限证券进行监督。</w:t>
      </w:r>
    </w:p>
    <w:p w14:paraId="47872CC4"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27CD28C1" w14:textId="77777777" w:rsidR="00B438AF" w:rsidRPr="008958AB" w:rsidRDefault="006C47E3">
      <w:pPr>
        <w:spacing w:line="360" w:lineRule="auto"/>
        <w:ind w:firstLineChars="200" w:firstLine="480"/>
        <w:rPr>
          <w:bCs/>
          <w:color w:val="000000" w:themeColor="text1"/>
          <w:sz w:val="24"/>
        </w:rPr>
      </w:pPr>
      <w:r w:rsidRPr="008958AB">
        <w:rPr>
          <w:bCs/>
          <w:color w:val="000000" w:themeColor="text1"/>
          <w:sz w:val="24"/>
        </w:rPr>
        <w:t>1.</w:t>
      </w:r>
      <w:r w:rsidRPr="008958AB">
        <w:rPr>
          <w:rFonts w:hint="eastAsia"/>
          <w:bCs/>
          <w:color w:val="000000" w:themeColor="text1"/>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958AB">
        <w:rPr>
          <w:rFonts w:hint="eastAsia"/>
          <w:bCs/>
          <w:color w:val="000000" w:themeColor="text1"/>
          <w:sz w:val="24"/>
        </w:rPr>
        <w:t>券</w:t>
      </w:r>
      <w:proofErr w:type="gramEnd"/>
      <w:r w:rsidRPr="008958AB">
        <w:rPr>
          <w:rFonts w:hint="eastAsia"/>
          <w:bCs/>
          <w:color w:val="000000" w:themeColor="text1"/>
          <w:sz w:val="24"/>
        </w:rPr>
        <w:t>等流通受限证券。本基金不投资有</w:t>
      </w:r>
      <w:proofErr w:type="gramStart"/>
      <w:r w:rsidRPr="008958AB">
        <w:rPr>
          <w:rFonts w:hint="eastAsia"/>
          <w:bCs/>
          <w:color w:val="000000" w:themeColor="text1"/>
          <w:sz w:val="24"/>
        </w:rPr>
        <w:t>锁定期但锁定</w:t>
      </w:r>
      <w:proofErr w:type="gramEnd"/>
      <w:r w:rsidRPr="008958AB">
        <w:rPr>
          <w:rFonts w:hint="eastAsia"/>
          <w:bCs/>
          <w:color w:val="000000" w:themeColor="text1"/>
          <w:sz w:val="24"/>
        </w:rPr>
        <w:t>期不明确的证券。</w:t>
      </w:r>
    </w:p>
    <w:p w14:paraId="04A14DE2"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本基金投资的流通受限证券限于可由中国证券登记结算有限责任公司或中央国债登记结算有限责任公司负责登记和存管，并可在证券交易所或全国银行间债券市场交易的证券。</w:t>
      </w:r>
    </w:p>
    <w:p w14:paraId="3B357B71"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本基金投资的流通受限证券应保证登记存管在本基金名下，基金管理人负责相关工作的落实和协调，并确保基金托管人能够正常查询。因基金管理</w:t>
      </w:r>
      <w:proofErr w:type="gramStart"/>
      <w:r w:rsidRPr="008958AB">
        <w:rPr>
          <w:rFonts w:hint="eastAsia"/>
          <w:bCs/>
          <w:color w:val="000000" w:themeColor="text1"/>
          <w:sz w:val="24"/>
        </w:rPr>
        <w:t>人原因</w:t>
      </w:r>
      <w:proofErr w:type="gramEnd"/>
      <w:r w:rsidRPr="008958AB">
        <w:rPr>
          <w:rFonts w:hint="eastAsia"/>
          <w:bCs/>
          <w:color w:val="000000" w:themeColor="text1"/>
          <w:sz w:val="24"/>
        </w:rPr>
        <w:t>产生的流通受限证券登记存管问题，造成基金托管人无法安全保管本基金资产的责任与损失，及因流通受限证券存管直接影响本基金安全的责任及损失，由基金管理人承担。</w:t>
      </w:r>
    </w:p>
    <w:p w14:paraId="0DCD7B91"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本基金投资流通受限证券，不得预付任何形式的保证金。若有最新法律法规、监管政策变更规定的，根据最新法律法规、监管政策执行。</w:t>
      </w:r>
    </w:p>
    <w:p w14:paraId="1F0A112A" w14:textId="77777777" w:rsidR="00B438AF" w:rsidRPr="008958AB" w:rsidRDefault="006C47E3">
      <w:pPr>
        <w:spacing w:line="360" w:lineRule="auto"/>
        <w:ind w:firstLineChars="200" w:firstLine="480"/>
        <w:rPr>
          <w:bCs/>
          <w:color w:val="000000" w:themeColor="text1"/>
          <w:sz w:val="24"/>
        </w:rPr>
      </w:pPr>
      <w:r w:rsidRPr="008958AB">
        <w:rPr>
          <w:bCs/>
          <w:color w:val="000000" w:themeColor="text1"/>
          <w:sz w:val="24"/>
        </w:rPr>
        <w:t>2.</w:t>
      </w:r>
      <w:r w:rsidRPr="008958AB">
        <w:rPr>
          <w:rFonts w:hint="eastAsia"/>
          <w:bCs/>
          <w:color w:val="000000" w:themeColor="text1"/>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w:t>
      </w:r>
      <w:r w:rsidRPr="008958AB">
        <w:rPr>
          <w:rFonts w:hint="eastAsia"/>
          <w:bCs/>
          <w:color w:val="000000" w:themeColor="text1"/>
          <w:sz w:val="24"/>
        </w:rPr>
        <w:lastRenderedPageBreak/>
        <w:t>限证券导致的流动性风险，基金托管人不承担任何责任。如因基金管理</w:t>
      </w:r>
      <w:proofErr w:type="gramStart"/>
      <w:r w:rsidRPr="008958AB">
        <w:rPr>
          <w:rFonts w:hint="eastAsia"/>
          <w:bCs/>
          <w:color w:val="000000" w:themeColor="text1"/>
          <w:sz w:val="24"/>
        </w:rPr>
        <w:t>人原因</w:t>
      </w:r>
      <w:proofErr w:type="gramEnd"/>
      <w:r w:rsidRPr="008958AB">
        <w:rPr>
          <w:rFonts w:hint="eastAsia"/>
          <w:bCs/>
          <w:color w:val="000000" w:themeColor="text1"/>
          <w:sz w:val="24"/>
        </w:rPr>
        <w:t>导致本基金出现损失致使基金托管人承担连带赔偿责任的，基金管理人应赔偿基金托管人由此遭受的损失。</w:t>
      </w:r>
    </w:p>
    <w:p w14:paraId="60414788" w14:textId="77777777" w:rsidR="00B438AF" w:rsidRPr="008958AB" w:rsidRDefault="006C47E3">
      <w:pPr>
        <w:spacing w:line="360" w:lineRule="auto"/>
        <w:ind w:firstLineChars="200" w:firstLine="480"/>
        <w:rPr>
          <w:bCs/>
          <w:color w:val="000000" w:themeColor="text1"/>
          <w:sz w:val="24"/>
        </w:rPr>
      </w:pPr>
      <w:r w:rsidRPr="008958AB">
        <w:rPr>
          <w:bCs/>
          <w:color w:val="000000" w:themeColor="text1"/>
          <w:sz w:val="24"/>
        </w:rPr>
        <w:t>3.</w:t>
      </w:r>
      <w:r w:rsidRPr="008958AB">
        <w:rPr>
          <w:rFonts w:hint="eastAsia"/>
          <w:bCs/>
          <w:color w:val="000000" w:themeColor="text1"/>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3620CFD"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w:t>
      </w:r>
      <w:r w:rsidRPr="008958AB">
        <w:rPr>
          <w:bCs/>
          <w:color w:val="000000" w:themeColor="text1"/>
          <w:sz w:val="24"/>
        </w:rPr>
        <w:t>1</w:t>
      </w:r>
      <w:r w:rsidRPr="008958AB">
        <w:rPr>
          <w:rFonts w:hint="eastAsia"/>
          <w:bCs/>
          <w:color w:val="000000" w:themeColor="text1"/>
          <w:sz w:val="24"/>
        </w:rPr>
        <w:t>）中国证监会批准发行非公开发行股票的批准文件。</w:t>
      </w:r>
    </w:p>
    <w:p w14:paraId="239924EC"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w:t>
      </w:r>
      <w:r w:rsidRPr="008958AB">
        <w:rPr>
          <w:bCs/>
          <w:color w:val="000000" w:themeColor="text1"/>
          <w:sz w:val="24"/>
        </w:rPr>
        <w:t>2</w:t>
      </w:r>
      <w:r w:rsidRPr="008958AB">
        <w:rPr>
          <w:rFonts w:hint="eastAsia"/>
          <w:bCs/>
          <w:color w:val="000000" w:themeColor="text1"/>
          <w:sz w:val="24"/>
        </w:rPr>
        <w:t>）非公开发行股票有关发行数量、发行价格、锁定期等发行资料。</w:t>
      </w:r>
    </w:p>
    <w:p w14:paraId="452A3180"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w:t>
      </w:r>
      <w:r w:rsidRPr="008958AB">
        <w:rPr>
          <w:bCs/>
          <w:color w:val="000000" w:themeColor="text1"/>
          <w:sz w:val="24"/>
        </w:rPr>
        <w:t>3</w:t>
      </w:r>
      <w:r w:rsidRPr="008958AB">
        <w:rPr>
          <w:rFonts w:hint="eastAsia"/>
          <w:bCs/>
          <w:color w:val="000000" w:themeColor="text1"/>
          <w:sz w:val="24"/>
        </w:rPr>
        <w:t>）基金拟认购的数量、价格、总成本、账面价值。</w:t>
      </w:r>
    </w:p>
    <w:p w14:paraId="7EB9C513" w14:textId="77777777" w:rsidR="00B438AF" w:rsidRPr="008958AB" w:rsidRDefault="006C47E3">
      <w:pPr>
        <w:spacing w:line="360" w:lineRule="auto"/>
        <w:ind w:firstLineChars="200" w:firstLine="480"/>
        <w:rPr>
          <w:bCs/>
          <w:color w:val="000000" w:themeColor="text1"/>
          <w:sz w:val="24"/>
        </w:rPr>
      </w:pPr>
      <w:r w:rsidRPr="008958AB">
        <w:rPr>
          <w:bCs/>
          <w:color w:val="000000" w:themeColor="text1"/>
          <w:sz w:val="24"/>
        </w:rPr>
        <w:t>4.</w:t>
      </w:r>
      <w:r w:rsidRPr="008958AB">
        <w:rPr>
          <w:rFonts w:hint="eastAsia"/>
          <w:bCs/>
          <w:color w:val="000000" w:themeColor="text1"/>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37CA7858"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本基金有关投资流通受限证券比例如违反有关限制规定，在合理期限内未能进行及时调整，基金管理人应在两个工作日内编制临时报告书，予以公告。</w:t>
      </w:r>
    </w:p>
    <w:p w14:paraId="6D7786FB" w14:textId="77777777" w:rsidR="00B438AF" w:rsidRPr="008958AB" w:rsidRDefault="006C47E3">
      <w:pPr>
        <w:spacing w:line="360" w:lineRule="auto"/>
        <w:ind w:firstLineChars="200" w:firstLine="480"/>
        <w:rPr>
          <w:bCs/>
          <w:color w:val="000000" w:themeColor="text1"/>
          <w:sz w:val="24"/>
        </w:rPr>
      </w:pPr>
      <w:r w:rsidRPr="008958AB">
        <w:rPr>
          <w:bCs/>
          <w:color w:val="000000" w:themeColor="text1"/>
          <w:sz w:val="24"/>
        </w:rPr>
        <w:t>5.</w:t>
      </w:r>
      <w:r w:rsidRPr="008958AB">
        <w:rPr>
          <w:rFonts w:hint="eastAsia"/>
          <w:bCs/>
          <w:color w:val="000000" w:themeColor="text1"/>
          <w:sz w:val="24"/>
        </w:rPr>
        <w:t>相关法律法规对基金投资流通受限证券有新规定的，从其规定。</w:t>
      </w:r>
    </w:p>
    <w:p w14:paraId="1D82422C" w14:textId="77777777" w:rsidR="00B438AF" w:rsidRPr="008958AB" w:rsidRDefault="006C47E3">
      <w:pPr>
        <w:spacing w:line="360" w:lineRule="auto"/>
        <w:ind w:firstLineChars="200" w:firstLine="480"/>
        <w:rPr>
          <w:bCs/>
          <w:color w:val="000000" w:themeColor="text1"/>
          <w:sz w:val="24"/>
        </w:rPr>
      </w:pPr>
      <w:r w:rsidRPr="008958AB">
        <w:rPr>
          <w:rFonts w:hint="eastAsia"/>
          <w:bCs/>
          <w:color w:val="000000" w:themeColor="text1"/>
          <w:sz w:val="24"/>
        </w:rPr>
        <w:t>（五）基金托管人根据有关法律法规的规定及《基金合同》的约定，对基金资产净值计算、各类别基金份额净值计算、应收资金到账、基金费用开支及收入确定、基金收益分配、相关信息披露、基金宣传推介材料中登载基金业绩表现数据等进行监督和核查。</w:t>
      </w:r>
    </w:p>
    <w:p w14:paraId="2931568C"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邮件或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4D1F40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（七）基金管理人有义务配合和协助基金托管人依照法律法规、《基金合同》和本托管协议对基金业务执行核查。对基金托管人发出的书面提示，基金管理人应</w:t>
      </w:r>
      <w:r w:rsidRPr="008958AB">
        <w:rPr>
          <w:rFonts w:ascii="宋体" w:hAnsi="宋体" w:cs="Arial" w:hint="eastAsia"/>
          <w:color w:val="000000" w:themeColor="text1"/>
          <w:sz w:val="24"/>
        </w:rPr>
        <w:lastRenderedPageBreak/>
        <w:t>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58C839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（八）</w:t>
      </w:r>
      <w:proofErr w:type="gramStart"/>
      <w:r w:rsidRPr="008958AB">
        <w:rPr>
          <w:rFonts w:ascii="宋体" w:hAnsi="宋体" w:cs="Arial" w:hint="eastAsia"/>
          <w:color w:val="000000" w:themeColor="text1"/>
          <w:sz w:val="24"/>
        </w:rPr>
        <w:t>若基金</w:t>
      </w:r>
      <w:proofErr w:type="gramEnd"/>
      <w:r w:rsidRPr="008958AB">
        <w:rPr>
          <w:rFonts w:ascii="宋体" w:hAnsi="宋体" w:cs="Arial" w:hint="eastAsia"/>
          <w:color w:val="000000" w:themeColor="text1"/>
          <w:sz w:val="24"/>
        </w:rPr>
        <w:t>托管人发现基金管理人依据交易程序已经生效的指令违反法律、行政法规和其他有关规定，或者违反《基金合同》约定的，应当及时通知基金管理人，由此造成的损失由基金管理人承担。</w:t>
      </w:r>
    </w:p>
    <w:p w14:paraId="5AA1352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九）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75804E29" w14:textId="77777777" w:rsidR="00B438AF" w:rsidRPr="008958AB" w:rsidRDefault="00B438AF">
      <w:pPr>
        <w:spacing w:line="360" w:lineRule="auto"/>
        <w:rPr>
          <w:rFonts w:ascii="宋体" w:hAnsi="宋体"/>
          <w:color w:val="000000" w:themeColor="text1"/>
          <w:sz w:val="24"/>
        </w:rPr>
      </w:pPr>
    </w:p>
    <w:p w14:paraId="564381EA" w14:textId="77777777" w:rsidR="00B438AF" w:rsidRPr="008958AB" w:rsidRDefault="006C47E3">
      <w:pPr>
        <w:pStyle w:val="2"/>
        <w:spacing w:line="360" w:lineRule="auto"/>
        <w:jc w:val="center"/>
        <w:rPr>
          <w:rFonts w:ascii="宋体" w:eastAsia="宋体" w:hAnsi="宋体"/>
          <w:color w:val="000000" w:themeColor="text1"/>
          <w:sz w:val="30"/>
        </w:rPr>
      </w:pPr>
      <w:bookmarkStart w:id="5" w:name="_Toc86726439"/>
      <w:bookmarkStart w:id="6" w:name="_Toc86649722"/>
      <w:bookmarkStart w:id="7" w:name="_Toc110761796"/>
      <w:bookmarkStart w:id="8" w:name="_Toc110830492"/>
      <w:bookmarkStart w:id="9" w:name="_Toc118972648"/>
      <w:bookmarkStart w:id="10" w:name="_Toc86737929"/>
      <w:bookmarkStart w:id="11" w:name="_Toc86727355"/>
      <w:bookmarkStart w:id="12" w:name="_Toc118774803"/>
      <w:bookmarkStart w:id="13" w:name="_Toc89163368"/>
      <w:bookmarkStart w:id="14" w:name="_Toc86223242"/>
      <w:bookmarkStart w:id="15" w:name="_Toc118212950"/>
      <w:bookmarkStart w:id="16" w:name="_Toc124325888"/>
      <w:bookmarkStart w:id="17" w:name="_Toc86225291"/>
      <w:bookmarkStart w:id="18" w:name="_Toc119402710"/>
      <w:bookmarkStart w:id="19" w:name="_Toc108512358"/>
      <w:bookmarkStart w:id="20" w:name="_Toc120435783"/>
      <w:bookmarkStart w:id="21" w:name="_Toc110765660"/>
      <w:r w:rsidRPr="008958AB">
        <w:rPr>
          <w:rFonts w:ascii="宋体" w:eastAsia="宋体" w:hAnsi="宋体" w:hint="eastAsia"/>
          <w:color w:val="000000" w:themeColor="text1"/>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6DBD422"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一）基金管理人对基金托管人履行托管职责情况进行核查，核查事项包括基金托管人安全保管基金财产、开设基金财产的资金账户和证券账户等投资所需账户、复核基金管理人计算的基金资产净值和各类别基金份额净值、根据基金管理人指令办理清算交收、相关信息披露和监督基金投资运作等行为。</w:t>
      </w:r>
    </w:p>
    <w:p w14:paraId="6A660C4B"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电话或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958AB">
        <w:rPr>
          <w:rFonts w:ascii="宋体" w:hAnsi="宋体" w:cs="Arial" w:hint="eastAsia"/>
          <w:color w:val="000000" w:themeColor="text1"/>
          <w:sz w:val="24"/>
        </w:rPr>
        <w:t>供基金</w:t>
      </w:r>
      <w:proofErr w:type="gramEnd"/>
      <w:r w:rsidRPr="008958AB">
        <w:rPr>
          <w:rFonts w:ascii="宋体" w:hAnsi="宋体" w:cs="Arial" w:hint="eastAsia"/>
          <w:color w:val="000000" w:themeColor="text1"/>
          <w:sz w:val="24"/>
        </w:rPr>
        <w:t>管理人核查托管财产的完整性和真实性，在规定时间内答复基金管理人并改正。</w:t>
      </w:r>
    </w:p>
    <w:p w14:paraId="67F28178"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（三）基金管理人发现基金托管人有重大违规行为，应及时报告中国证监会，同时通知基金托管人限期纠正，并将纠正结果报告中国证监会。基金托管人无正当</w:t>
      </w:r>
      <w:r w:rsidRPr="008958AB">
        <w:rPr>
          <w:rFonts w:ascii="宋体" w:hAnsi="宋体" w:cs="Arial" w:hint="eastAsia"/>
          <w:color w:val="000000" w:themeColor="text1"/>
          <w:sz w:val="24"/>
        </w:rPr>
        <w:lastRenderedPageBreak/>
        <w:t>理由，拒绝、阻挠基金管理人根据本协议规定行使监督权，或采取拖延、欺诈等手段妨碍基金管理人进行有效监督，情节严重或经基金管理人提出警告仍不改正的，基金管理人应报告中国证监会。</w:t>
      </w:r>
    </w:p>
    <w:p w14:paraId="5D5DCBD5" w14:textId="77777777" w:rsidR="00B438AF" w:rsidRPr="008958AB" w:rsidRDefault="00B438AF">
      <w:pPr>
        <w:spacing w:line="360" w:lineRule="auto"/>
        <w:rPr>
          <w:rFonts w:ascii="宋体" w:hAnsi="宋体"/>
          <w:color w:val="000000" w:themeColor="text1"/>
          <w:sz w:val="24"/>
        </w:rPr>
      </w:pPr>
    </w:p>
    <w:p w14:paraId="72619227" w14:textId="77777777" w:rsidR="00B438AF" w:rsidRPr="008958AB" w:rsidRDefault="006C47E3">
      <w:pPr>
        <w:pStyle w:val="2"/>
        <w:spacing w:line="360" w:lineRule="auto"/>
        <w:jc w:val="center"/>
        <w:rPr>
          <w:rFonts w:ascii="宋体" w:eastAsia="宋体" w:hAnsi="宋体"/>
          <w:color w:val="000000" w:themeColor="text1"/>
          <w:sz w:val="30"/>
        </w:rPr>
      </w:pPr>
      <w:bookmarkStart w:id="22" w:name="_Toc86727356"/>
      <w:bookmarkStart w:id="23" w:name="_Toc86204789"/>
      <w:bookmarkStart w:id="24" w:name="_Toc110765661"/>
      <w:bookmarkStart w:id="25" w:name="_Toc119402711"/>
      <w:bookmarkStart w:id="26" w:name="_Toc110761797"/>
      <w:bookmarkStart w:id="27" w:name="_Toc86737930"/>
      <w:bookmarkStart w:id="28" w:name="_Toc86726440"/>
      <w:bookmarkStart w:id="29" w:name="_Toc84133786"/>
      <w:bookmarkStart w:id="30" w:name="_Toc108512359"/>
      <w:bookmarkStart w:id="31" w:name="_Toc118774804"/>
      <w:bookmarkStart w:id="32" w:name="_Toc110830493"/>
      <w:bookmarkStart w:id="33" w:name="_Toc84234388"/>
      <w:bookmarkStart w:id="34" w:name="_Toc124325889"/>
      <w:bookmarkStart w:id="35" w:name="_Toc89163369"/>
      <w:bookmarkStart w:id="36" w:name="_Toc84234435"/>
      <w:bookmarkStart w:id="37" w:name="_Toc86225292"/>
      <w:bookmarkStart w:id="38" w:name="_Toc118972649"/>
      <w:bookmarkStart w:id="39" w:name="_Toc86223243"/>
      <w:bookmarkStart w:id="40" w:name="_Toc118212951"/>
      <w:bookmarkStart w:id="41" w:name="_Toc120435784"/>
      <w:bookmarkStart w:id="42" w:name="_Toc86649723"/>
      <w:r w:rsidRPr="008958AB">
        <w:rPr>
          <w:rFonts w:ascii="宋体" w:eastAsia="宋体" w:hAnsi="宋体" w:hint="eastAsia"/>
          <w:color w:val="000000" w:themeColor="text1"/>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430D1F7"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（一）基金财产保管的原则</w:t>
      </w:r>
    </w:p>
    <w:p w14:paraId="7FF3A481"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1.基金财产应独立于基金管理人、基金托管人和证券经纪机构的固有财产。</w:t>
      </w:r>
    </w:p>
    <w:p w14:paraId="40FAD669"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2.基金托管人应安全保管基金财产。</w:t>
      </w:r>
    </w:p>
    <w:p w14:paraId="72004332"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3.基金托管人按照规定开设基金财产的资金账户和证券账户等投资所需账户。</w:t>
      </w:r>
    </w:p>
    <w:p w14:paraId="0F1ED931"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4.基金托管人对所托管的不同基金财产分别设置账户，分账管理，独立核算，确保基金财产的完整与独立。</w:t>
      </w:r>
    </w:p>
    <w:p w14:paraId="2D7EE260" w14:textId="6C10F691"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5.基金托管人按照《基金合同》和本协议的约定保管基金财产，如有特殊情况双方可另行协商解决。基金托管人未经基金管理人的指令，不得自行运用、处分、分配本基金的任何资产（不包含基金托管人开户银行或交易/登记结算机构扣</w:t>
      </w:r>
      <w:proofErr w:type="gramStart"/>
      <w:r w:rsidRPr="008958AB">
        <w:rPr>
          <w:rFonts w:ascii="宋体" w:hAnsi="宋体" w:cs="Arial" w:hint="eastAsia"/>
          <w:color w:val="000000" w:themeColor="text1"/>
          <w:sz w:val="24"/>
        </w:rPr>
        <w:t>收交易</w:t>
      </w:r>
      <w:proofErr w:type="gramEnd"/>
      <w:r w:rsidRPr="008958AB">
        <w:rPr>
          <w:rFonts w:ascii="宋体" w:hAnsi="宋体" w:cs="Arial" w:hint="eastAsia"/>
          <w:color w:val="000000" w:themeColor="text1"/>
          <w:sz w:val="24"/>
        </w:rPr>
        <w:t>费、结算费和账户维护费等费用）。</w:t>
      </w:r>
    </w:p>
    <w:p w14:paraId="77BF51D7"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基金托管人应予以必要的协助与配合。</w:t>
      </w:r>
    </w:p>
    <w:p w14:paraId="01B3A490"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7.除依据法律法规和《基金合同》的规定外，基金托管人不得委托第三人托管基金财产。</w:t>
      </w:r>
    </w:p>
    <w:p w14:paraId="63BCDABD"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（二）基金募集期间及募集资金的验资</w:t>
      </w:r>
    </w:p>
    <w:p w14:paraId="5F2067DE" w14:textId="0565F7F0"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1.基金募集期间募集的资金应存于基金管理人在基金托管人的营业机构开立的“基金募集专户”。该账户由基金管理人开立并管理。</w:t>
      </w:r>
    </w:p>
    <w:p w14:paraId="793D8D02"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w:t>
      </w:r>
      <w:r w:rsidRPr="008958AB">
        <w:rPr>
          <w:rFonts w:ascii="宋体" w:hAnsi="宋体" w:cs="Arial" w:hint="eastAsia"/>
          <w:color w:val="000000" w:themeColor="text1"/>
          <w:sz w:val="24"/>
        </w:rPr>
        <w:lastRenderedPageBreak/>
        <w:t>时间内，聘请符合《证券法》规定的会计师事务所进行验资，出具验资报告。出具的验资报告由参加验资的2名或2名以上中国注册会计师签字方为有效。</w:t>
      </w:r>
    </w:p>
    <w:p w14:paraId="49576C01"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3.</w:t>
      </w:r>
      <w:proofErr w:type="gramStart"/>
      <w:r w:rsidRPr="008958AB">
        <w:rPr>
          <w:rFonts w:ascii="宋体" w:hAnsi="宋体" w:cs="Arial" w:hint="eastAsia"/>
          <w:color w:val="000000" w:themeColor="text1"/>
          <w:sz w:val="24"/>
        </w:rPr>
        <w:t>若基金</w:t>
      </w:r>
      <w:proofErr w:type="gramEnd"/>
      <w:r w:rsidRPr="008958AB">
        <w:rPr>
          <w:rFonts w:ascii="宋体" w:hAnsi="宋体" w:cs="Arial" w:hint="eastAsia"/>
          <w:color w:val="000000" w:themeColor="text1"/>
          <w:sz w:val="24"/>
        </w:rPr>
        <w:t>募集期限届满，未能达到《基金合同》生效的条件，由基金管理人按规定办理退款等事宜，基金托管人应予以必要的协助和配合。</w:t>
      </w:r>
    </w:p>
    <w:p w14:paraId="39D739F5"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（三）基金托管资金账户的开立和管理</w:t>
      </w:r>
    </w:p>
    <w:p w14:paraId="10D72C72"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1.基金托管人可以本基金的名义在其营业机构开立基金的托管资金账户，并根据基金管理人合法合</w:t>
      </w:r>
      <w:proofErr w:type="gramStart"/>
      <w:r w:rsidRPr="008958AB">
        <w:rPr>
          <w:rFonts w:ascii="宋体" w:hAnsi="宋体" w:cs="Arial" w:hint="eastAsia"/>
          <w:color w:val="000000" w:themeColor="text1"/>
          <w:sz w:val="24"/>
        </w:rPr>
        <w:t>规</w:t>
      </w:r>
      <w:proofErr w:type="gramEnd"/>
      <w:r w:rsidRPr="008958AB">
        <w:rPr>
          <w:rFonts w:ascii="宋体" w:hAnsi="宋体" w:cs="Arial" w:hint="eastAsia"/>
          <w:color w:val="000000" w:themeColor="text1"/>
          <w:sz w:val="24"/>
        </w:rPr>
        <w:t>的指令办理资金收付。本基金的银行预留印鉴由基金托管人保管和使用。</w:t>
      </w:r>
    </w:p>
    <w:p w14:paraId="29D0CCFC"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2.基金托管资金账户的开立和使用，限于满足开展本基金业务的需要。基金托管人和基金管理人不得假借本基金的名义开立任何其他银行账户；亦不得使用基金的任何账户进行本基金业务以外的活动。</w:t>
      </w:r>
    </w:p>
    <w:p w14:paraId="4A54A288"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3.基金托管资金账户的开立和管理应符合银行业监督管理机构的有关规定。</w:t>
      </w:r>
    </w:p>
    <w:p w14:paraId="2BEC2415"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4.在符合法律法规规定的条件下，基金托管人可以通过基金托管人专用账户办理基金资产的支付。</w:t>
      </w:r>
    </w:p>
    <w:p w14:paraId="1D3109F4"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color w:val="000000" w:themeColor="text1"/>
          <w:sz w:val="24"/>
        </w:rPr>
        <w:t>5</w:t>
      </w:r>
      <w:r w:rsidRPr="008958AB">
        <w:rPr>
          <w:rFonts w:ascii="宋体" w:hAnsi="宋体" w:cs="Arial" w:hint="eastAsia"/>
          <w:color w:val="000000" w:themeColor="text1"/>
          <w:sz w:val="24"/>
        </w:rPr>
        <w:t>.基金管理人应于基金清算后及时完成收益兑付、费用结清及其他应收应付款项资金划转，在确保后续不再发生款项进出后的</w:t>
      </w:r>
      <w:r w:rsidRPr="008958AB">
        <w:rPr>
          <w:rFonts w:ascii="宋体" w:hAnsi="宋体" w:cs="Arial"/>
          <w:color w:val="000000" w:themeColor="text1"/>
          <w:sz w:val="24"/>
        </w:rPr>
        <w:t>10个工作日内向</w:t>
      </w:r>
      <w:r w:rsidRPr="008958AB">
        <w:rPr>
          <w:rFonts w:ascii="宋体" w:hAnsi="宋体" w:cs="Arial" w:hint="eastAsia"/>
          <w:color w:val="000000" w:themeColor="text1"/>
          <w:sz w:val="24"/>
        </w:rPr>
        <w:t>基金托管人发出销户申请。</w:t>
      </w:r>
    </w:p>
    <w:p w14:paraId="7D57A4B0" w14:textId="33E56331"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（四）基金证券账户和证券资金账户的开立和管理</w:t>
      </w:r>
    </w:p>
    <w:p w14:paraId="48649358"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color w:val="000000" w:themeColor="text1"/>
          <w:sz w:val="24"/>
        </w:rPr>
        <w:t>1.基金托管人在中国证券登记结算有限责任公司为基金开立基金托管人与基金联名的证券账户。</w:t>
      </w:r>
    </w:p>
    <w:p w14:paraId="5575638B"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color w:val="000000" w:themeColor="text1"/>
          <w:sz w:val="24"/>
        </w:rPr>
        <w:t>2.基金证券账户的开立和使用，仅限于满足开展本基金业务的需要。基金托管人和基金管理人不得出借或未经对方同意擅自转让基金的任何证券账户，亦不得</w:t>
      </w:r>
      <w:r w:rsidRPr="008958AB">
        <w:rPr>
          <w:rFonts w:ascii="宋体" w:hAnsi="宋体" w:cs="Arial" w:hint="eastAsia"/>
          <w:color w:val="000000" w:themeColor="text1"/>
          <w:sz w:val="24"/>
        </w:rPr>
        <w:t>使用基金的任何账户进行本基金业务以外的活动。</w:t>
      </w:r>
    </w:p>
    <w:p w14:paraId="1378BDC4"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color w:val="000000" w:themeColor="text1"/>
          <w:sz w:val="24"/>
        </w:rPr>
        <w:t>3.基金证券账户的开立和证券账户卡的保管由基金托管人负责，账户资产的管理和运用由基金管理人负责。</w:t>
      </w:r>
    </w:p>
    <w:p w14:paraId="1A14BBC2"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证券账户开户费由基金管理人先行垫付</w:t>
      </w:r>
      <w:r w:rsidRPr="008958AB">
        <w:rPr>
          <w:rFonts w:ascii="宋体" w:hAnsi="宋体" w:cs="Arial"/>
          <w:color w:val="000000" w:themeColor="text1"/>
          <w:sz w:val="24"/>
        </w:rPr>
        <w:t>,</w:t>
      </w:r>
      <w:proofErr w:type="gramStart"/>
      <w:r w:rsidRPr="008958AB">
        <w:rPr>
          <w:rFonts w:ascii="宋体" w:hAnsi="宋体" w:cs="Arial"/>
          <w:color w:val="000000" w:themeColor="text1"/>
          <w:sz w:val="24"/>
        </w:rPr>
        <w:t>待本基金</w:t>
      </w:r>
      <w:proofErr w:type="gramEnd"/>
      <w:r w:rsidRPr="008958AB">
        <w:rPr>
          <w:rFonts w:ascii="宋体" w:hAnsi="宋体" w:cs="Arial"/>
          <w:color w:val="000000" w:themeColor="text1"/>
          <w:sz w:val="24"/>
        </w:rPr>
        <w:t>启始运营后,基金管理人可向基金托管人发送划款指令,将代垫开户费从本基金托管资金账户中扣还基金管理人。</w:t>
      </w:r>
    </w:p>
    <w:p w14:paraId="2873B3C1"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color w:val="000000" w:themeColor="text1"/>
          <w:sz w:val="24"/>
        </w:rPr>
        <w:t>4.</w:t>
      </w:r>
      <w:r w:rsidRPr="008958AB">
        <w:rPr>
          <w:rFonts w:ascii="宋体" w:hAnsi="宋体" w:cs="Arial" w:hint="eastAsia"/>
          <w:color w:val="000000" w:themeColor="text1"/>
          <w:sz w:val="24"/>
        </w:rPr>
        <w:t>基金管理人为基金财产在证券经纪机构开立证券资金账户，用于基金财产证券交易结算资金的存管、记载交易结算资金的变动明细以及场内证券交易清算，</w:t>
      </w:r>
      <w:r w:rsidRPr="008958AB">
        <w:rPr>
          <w:rFonts w:ascii="宋体" w:hAnsi="宋体" w:cs="Arial" w:hint="eastAsia"/>
          <w:color w:val="000000" w:themeColor="text1"/>
          <w:sz w:val="24"/>
        </w:rPr>
        <w:lastRenderedPageBreak/>
        <w:t>并与基金托管人开立的基金托管资金账户建立第三方存管关系。</w:t>
      </w:r>
    </w:p>
    <w:p w14:paraId="79C3C861" w14:textId="65C23AF5"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交易所证券交易资金采用第三方存管模式，即用于证券交易结算资金全额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托管资金账户以外的其他银行账户。基金托管人不负责办理场内的证券交易资金清算，也不负责保管证券资金账户内存放的资金。</w:t>
      </w:r>
    </w:p>
    <w:p w14:paraId="66EB2633" w14:textId="675CB13B"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color w:val="000000" w:themeColor="text1"/>
          <w:sz w:val="24"/>
        </w:rPr>
        <w:t>5</w:t>
      </w:r>
      <w:r w:rsidRPr="008958AB">
        <w:rPr>
          <w:rFonts w:ascii="宋体" w:hAnsi="宋体" w:cs="Arial" w:hint="eastAsia"/>
          <w:color w:val="000000" w:themeColor="text1"/>
          <w:sz w:val="24"/>
        </w:rPr>
        <w:t>.</w:t>
      </w:r>
      <w:r w:rsidRPr="008958AB">
        <w:rPr>
          <w:rFonts w:ascii="宋体" w:hAnsi="宋体" w:cs="Arial"/>
          <w:color w:val="000000" w:themeColor="text1"/>
          <w:sz w:val="24"/>
        </w:rPr>
        <w:t>账户注销时，在遵守中国证券登记结算有限责任公司的相关规定下，由基金管理人和基金托管人协商确认主要办理人。账户注销期间，主要办理人如需另一方提供配合的，另一方应予以配合。</w:t>
      </w:r>
    </w:p>
    <w:p w14:paraId="66256132"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color w:val="000000" w:themeColor="text1"/>
          <w:sz w:val="24"/>
        </w:rPr>
        <w:t>6.若中国证监会或其他监管机构在本托管协议订立日之后允许基金从事其他投资品种的投资业务，涉及相关账户的开立、使用的，若无相关规定，</w:t>
      </w:r>
      <w:proofErr w:type="gramStart"/>
      <w:r w:rsidRPr="008958AB">
        <w:rPr>
          <w:rFonts w:ascii="宋体" w:hAnsi="宋体" w:cs="Arial" w:hint="eastAsia"/>
          <w:color w:val="000000" w:themeColor="text1"/>
          <w:sz w:val="24"/>
        </w:rPr>
        <w:t>则基金</w:t>
      </w:r>
      <w:proofErr w:type="gramEnd"/>
      <w:r w:rsidRPr="008958AB">
        <w:rPr>
          <w:rFonts w:ascii="宋体" w:hAnsi="宋体" w:cs="Arial" w:hint="eastAsia"/>
          <w:color w:val="000000" w:themeColor="text1"/>
          <w:sz w:val="24"/>
        </w:rPr>
        <w:t>托管人比照上述关于账户开立、使用的规定执行。</w:t>
      </w:r>
    </w:p>
    <w:p w14:paraId="430E9FD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（五）银行间账户的开设和管理</w:t>
      </w:r>
    </w:p>
    <w:p w14:paraId="2317E64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w:t>
      </w:r>
    </w:p>
    <w:p w14:paraId="66EA41C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（六）其他账户的开立和管理</w:t>
      </w:r>
    </w:p>
    <w:p w14:paraId="43EB5A0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6E95805"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2.法律法规等有关规定对相关账户的开立和管理另有规定的，从其规定办理。</w:t>
      </w:r>
    </w:p>
    <w:p w14:paraId="30E2885E"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（七）基金财产投资的有关有价凭证等的保管</w:t>
      </w:r>
    </w:p>
    <w:p w14:paraId="7D963BBC" w14:textId="77777777" w:rsidR="00B438AF" w:rsidRPr="008958AB" w:rsidRDefault="006C47E3">
      <w:pPr>
        <w:adjustRightInd w:val="0"/>
        <w:snapToGrid w:val="0"/>
        <w:spacing w:line="360" w:lineRule="auto"/>
        <w:ind w:firstLineChars="200" w:firstLine="480"/>
        <w:rPr>
          <w:rFonts w:ascii="宋体" w:hAnsi="宋体" w:cs="Arial"/>
          <w:color w:val="000000" w:themeColor="text1"/>
        </w:rPr>
      </w:pPr>
      <w:r w:rsidRPr="008958AB">
        <w:rPr>
          <w:rFonts w:ascii="宋体" w:hAnsi="宋体" w:cs="Arial" w:hint="eastAsia"/>
          <w:color w:val="000000" w:themeColor="text1"/>
          <w:sz w:val="24"/>
        </w:rPr>
        <w:lastRenderedPageBreak/>
        <w:t>基金财产投资的有关实物证券、银行</w:t>
      </w:r>
      <w:r w:rsidRPr="008958AB">
        <w:rPr>
          <w:rFonts w:ascii="宋体" w:hAnsi="宋体" w:hint="eastAsia"/>
          <w:color w:val="000000" w:themeColor="text1"/>
          <w:sz w:val="24"/>
        </w:rPr>
        <w:t>存款开户证实书</w:t>
      </w:r>
      <w:r w:rsidRPr="008958AB">
        <w:rPr>
          <w:rFonts w:ascii="宋体" w:hAnsi="宋体" w:cs="Arial" w:hint="eastAsia"/>
          <w:color w:val="000000" w:themeColor="text1"/>
          <w:sz w:val="24"/>
        </w:rPr>
        <w:t>等有价凭证由基金托管人存放于基金托管人的保管库，也可存入法律法规有关规定允许的</w:t>
      </w:r>
      <w:proofErr w:type="gramStart"/>
      <w:r w:rsidRPr="008958AB">
        <w:rPr>
          <w:rFonts w:ascii="宋体" w:hAnsi="宋体" w:cs="Arial" w:hint="eastAsia"/>
          <w:color w:val="000000" w:themeColor="text1"/>
          <w:sz w:val="24"/>
        </w:rPr>
        <w:t>各类代保管</w:t>
      </w:r>
      <w:proofErr w:type="gramEnd"/>
      <w:r w:rsidRPr="008958AB">
        <w:rPr>
          <w:rFonts w:ascii="宋体" w:hAnsi="宋体" w:cs="Arial" w:hint="eastAsia"/>
          <w:color w:val="000000" w:themeColor="text1"/>
          <w:sz w:val="24"/>
        </w:rPr>
        <w:t>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077EA75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（八）与基金财产有关的重大合同的保管</w:t>
      </w:r>
    </w:p>
    <w:p w14:paraId="20E67AD1"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由基金管理人代表基金签署的、与基金有关的重大合同的原件分别由基金管理人、基金托管人保管。除本协议另有规定外，基金管理人在代表基金签署与基金有关的重大合同时，应保证基金一方持有两份以上的正本，以保证基金管理人和基金托管人至少各持有一份正本的原件。基金管理人应在重大合同签署后及时将重大合同传真给基金托管人，并在三十个工作日内将正本送达基金托管人处。重大合同的保管期限不低于法律法规规定的最低期限。</w:t>
      </w:r>
    </w:p>
    <w:p w14:paraId="45025EF8" w14:textId="77777777" w:rsidR="00B438AF" w:rsidRPr="008958AB" w:rsidRDefault="00B438AF">
      <w:pPr>
        <w:spacing w:line="360" w:lineRule="auto"/>
        <w:rPr>
          <w:rFonts w:ascii="宋体" w:hAnsi="宋体"/>
          <w:color w:val="000000" w:themeColor="text1"/>
          <w:sz w:val="24"/>
        </w:rPr>
      </w:pPr>
    </w:p>
    <w:p w14:paraId="07022F08" w14:textId="77777777" w:rsidR="00B438AF" w:rsidRPr="008958AB" w:rsidRDefault="006C47E3">
      <w:pPr>
        <w:pStyle w:val="2"/>
        <w:spacing w:line="360" w:lineRule="auto"/>
        <w:jc w:val="center"/>
        <w:rPr>
          <w:rFonts w:ascii="宋体" w:eastAsia="宋体" w:hAnsi="宋体"/>
          <w:color w:val="000000" w:themeColor="text1"/>
          <w:sz w:val="30"/>
        </w:rPr>
      </w:pPr>
      <w:bookmarkStart w:id="43" w:name="_Toc120435785"/>
      <w:bookmarkStart w:id="44" w:name="_Toc110765662"/>
      <w:bookmarkStart w:id="45" w:name="_Toc86727357"/>
      <w:bookmarkStart w:id="46" w:name="_Toc86649724"/>
      <w:bookmarkStart w:id="47" w:name="_Toc118972650"/>
      <w:bookmarkStart w:id="48" w:name="_Toc124325890"/>
      <w:bookmarkStart w:id="49" w:name="_Toc118774805"/>
      <w:bookmarkStart w:id="50" w:name="_Toc118212952"/>
      <w:bookmarkStart w:id="51" w:name="_Toc110761798"/>
      <w:bookmarkStart w:id="52" w:name="_Toc110830494"/>
      <w:bookmarkStart w:id="53" w:name="_Toc119402712"/>
      <w:bookmarkStart w:id="54" w:name="_Toc86737931"/>
      <w:bookmarkStart w:id="55" w:name="_Toc89163370"/>
      <w:bookmarkStart w:id="56" w:name="_Toc108512360"/>
      <w:bookmarkStart w:id="57" w:name="_Toc86726441"/>
      <w:bookmarkStart w:id="58" w:name="_Toc84234436"/>
      <w:bookmarkStart w:id="59" w:name="_Toc84133787"/>
      <w:bookmarkStart w:id="60" w:name="_Toc86223244"/>
      <w:bookmarkStart w:id="61" w:name="_Toc86225293"/>
      <w:bookmarkStart w:id="62" w:name="_Toc86204790"/>
      <w:bookmarkStart w:id="63" w:name="_Toc84234389"/>
      <w:r w:rsidRPr="008958AB">
        <w:rPr>
          <w:rFonts w:ascii="宋体" w:eastAsia="宋体" w:hAnsi="宋体" w:hint="eastAsia"/>
          <w:color w:val="000000" w:themeColor="text1"/>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9D2FEB3"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基金管理人在运用基金财产时向基金托管人发送资金划拨及其他款项付款指令，基金托管人执行基金管理人的指令、办理基金名下的资金往来等有关事项。</w:t>
      </w:r>
    </w:p>
    <w:p w14:paraId="2E820D18"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（一）基金管理人对发送指令人员的书面授权</w:t>
      </w:r>
    </w:p>
    <w:p w14:paraId="4E3D1321"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1.基金管理人应指定专人向基金托管人发送指令。</w:t>
      </w:r>
    </w:p>
    <w:p w14:paraId="1813C8C9"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2.基金管理人应向基金托管人提供书面授权文件原件，内容包括被授权人名单、预留印鉴及被授权人签字样本，授权文件应注明被授权人相应的权限，并加盖单位公章。</w:t>
      </w:r>
    </w:p>
    <w:p w14:paraId="4A0A7ACB"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0F15AB4B"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4.基金管理人和基金托管人对授权文件负有保密义务，其内容不得向被授权人及相关操作人员以外的任何人泄露。但法律法规规定或有权机关要求的除外。</w:t>
      </w:r>
    </w:p>
    <w:p w14:paraId="4D592527"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（二）指令的内容</w:t>
      </w:r>
    </w:p>
    <w:p w14:paraId="6FF318E4"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lastRenderedPageBreak/>
        <w:t>1.指令包括付款指令以及其他资金划拨指令等。</w:t>
      </w:r>
    </w:p>
    <w:p w14:paraId="5C0EC6DB"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2.基金管理人发给基金托管人的指令应写明款项事由、支付时间、到账时间、金额、收付款账户等，加盖预留印鉴并由被授权人签字。</w:t>
      </w:r>
    </w:p>
    <w:p w14:paraId="3DEFAC48"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（三）指令的发送、确认及执行的时间和程序</w:t>
      </w:r>
    </w:p>
    <w:p w14:paraId="2EB10F23"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1.指令的发送</w:t>
      </w:r>
    </w:p>
    <w:p w14:paraId="599E8868"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基金管理人发送指令应采用传真方式或双方协商一致的其他方式。</w:t>
      </w:r>
    </w:p>
    <w:p w14:paraId="31E3DDB1"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DBC95F6"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指令发出后，基金管理人应及时以电话方式向基金托管人确认。</w:t>
      </w:r>
    </w:p>
    <w:p w14:paraId="16D1BCDC"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hint="eastAsia"/>
          <w:color w:val="000000" w:themeColor="text1"/>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7470A22"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2.指令的确认</w:t>
      </w:r>
    </w:p>
    <w:p w14:paraId="4B5C7565"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51082A0"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3.指令的时间和执行</w:t>
      </w:r>
    </w:p>
    <w:p w14:paraId="55701348" w14:textId="77777777" w:rsidR="00B438AF" w:rsidRPr="008958AB" w:rsidRDefault="006C47E3">
      <w:pPr>
        <w:pStyle w:val="a6"/>
        <w:spacing w:line="360" w:lineRule="auto"/>
        <w:ind w:firstLineChars="0"/>
        <w:rPr>
          <w:rFonts w:ascii="宋体" w:hAnsi="宋体"/>
          <w:color w:val="000000" w:themeColor="text1"/>
          <w:shd w:val="pct10" w:color="auto" w:fill="FFFFFF"/>
        </w:rPr>
      </w:pPr>
      <w:r w:rsidRPr="008958AB">
        <w:rPr>
          <w:rFonts w:ascii="宋体" w:eastAsia="宋体" w:hAnsi="宋体" w:cs="Arial" w:hint="eastAsia"/>
          <w:color w:val="000000" w:themeColor="text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Pr="008958AB">
        <w:rPr>
          <w:rFonts w:ascii="宋体" w:eastAsia="宋体" w:hAnsi="宋体" w:cs="Arial"/>
          <w:color w:val="000000" w:themeColor="text1"/>
        </w:rPr>
        <w:t>确保</w:t>
      </w:r>
      <w:r w:rsidRPr="008958AB">
        <w:rPr>
          <w:rFonts w:ascii="宋体" w:eastAsia="宋体" w:hAnsi="宋体" w:cs="Arial" w:hint="eastAsia"/>
          <w:color w:val="000000" w:themeColor="text1"/>
        </w:rPr>
        <w:t>相关付款条件已经具备。基金托管人将视付款条件具备时为指令送达时间。对新股申购网下发行业务，基金管理人应在网下申购缴款日(T日)的前一工作日下班前将指令发送给基金托管人，指令发送时</w:t>
      </w:r>
      <w:r w:rsidRPr="008958AB">
        <w:rPr>
          <w:rFonts w:ascii="宋体" w:eastAsia="宋体" w:hAnsi="宋体" w:cs="Arial" w:hint="eastAsia"/>
          <w:color w:val="000000" w:themeColor="text1"/>
        </w:rPr>
        <w:lastRenderedPageBreak/>
        <w:t>间最迟不应晚于T日上午10:00。</w:t>
      </w:r>
      <w:r w:rsidRPr="008958AB">
        <w:rPr>
          <w:rFonts w:ascii="宋体" w:eastAsia="宋体" w:hAnsi="宋体" w:cs="Arial" w:hint="eastAsia"/>
          <w:color w:val="000000" w:themeColor="text1"/>
          <w:szCs w:val="24"/>
        </w:rPr>
        <w:t>基金管理人应确保基金托管人在执行指令时，基金托管资金账户有足够的资金余额，</w:t>
      </w:r>
      <w:r w:rsidRPr="008958AB">
        <w:rPr>
          <w:rFonts w:ascii="宋体" w:eastAsia="宋体" w:hAnsi="宋体" w:cs="Arial" w:hint="eastAsia"/>
          <w:color w:val="000000" w:themeColor="text1"/>
        </w:rPr>
        <w:t>在基金资金头寸充足的情况下，基金托管人对基金管理人符合法律法规、《基金合同》、本协议的指令不得拖延或拒绝执行。</w:t>
      </w:r>
    </w:p>
    <w:p w14:paraId="47A0A538" w14:textId="77777777" w:rsidR="00B438AF" w:rsidRPr="008958AB" w:rsidRDefault="006C47E3">
      <w:pPr>
        <w:pStyle w:val="a6"/>
        <w:spacing w:line="360" w:lineRule="auto"/>
        <w:ind w:firstLineChars="0"/>
        <w:rPr>
          <w:rFonts w:ascii="宋体" w:eastAsia="宋体" w:hAnsi="宋体" w:cs="Arial"/>
          <w:color w:val="000000" w:themeColor="text1"/>
        </w:rPr>
      </w:pPr>
      <w:r w:rsidRPr="008958AB">
        <w:rPr>
          <w:rFonts w:ascii="宋体" w:eastAsia="宋体" w:hAnsi="宋体" w:cs="Arial" w:hint="eastAsia"/>
          <w:color w:val="000000" w:themeColor="text1"/>
        </w:rPr>
        <w:t>（四）基金管理人发送错误指令的情形和处理程序</w:t>
      </w:r>
    </w:p>
    <w:p w14:paraId="78EF3D0B"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基金管理人发送错误指令的情形包括指令违反法律法规、监管规定、《基金合同》或本协议的约定，或指令发送人员无权或超越权限发送指令。</w:t>
      </w:r>
    </w:p>
    <w:p w14:paraId="0D05B7D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基金托管人发现基金管理人的指令错误时，有权拒绝执行，并及时通知基金管理人改正。如</w:t>
      </w:r>
      <w:proofErr w:type="gramStart"/>
      <w:r w:rsidRPr="008958AB">
        <w:rPr>
          <w:rFonts w:ascii="宋体" w:hAnsi="宋体" w:cs="Arial" w:hint="eastAsia"/>
          <w:color w:val="000000" w:themeColor="text1"/>
          <w:sz w:val="24"/>
        </w:rPr>
        <w:t>需基金</w:t>
      </w:r>
      <w:proofErr w:type="gramEnd"/>
      <w:r w:rsidRPr="008958AB">
        <w:rPr>
          <w:rFonts w:ascii="宋体" w:hAnsi="宋体" w:cs="Arial" w:hint="eastAsia"/>
          <w:color w:val="000000" w:themeColor="text1"/>
          <w:sz w:val="24"/>
        </w:rPr>
        <w:t>托管人撤销尚未执行的指令，基金管理人应出具作废指令或作废说明，并电话通知基金托管人。</w:t>
      </w:r>
    </w:p>
    <w:p w14:paraId="2F69D1A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（五）基金托管人未按照基金管理人指令执行的处理方法</w:t>
      </w:r>
    </w:p>
    <w:p w14:paraId="099BB4E7"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基金托管人由于自身过错，未按照基金管理人发送的符合法律法规、监管规定、《基金合同》和本协议约定的指令执行并对基金财产或投资人造成的直接损失，由基金托管人</w:t>
      </w:r>
      <w:r w:rsidRPr="008958AB">
        <w:rPr>
          <w:rFonts w:ascii="宋体" w:hAnsi="宋体" w:hint="eastAsia"/>
          <w:color w:val="000000" w:themeColor="text1"/>
          <w:sz w:val="24"/>
        </w:rPr>
        <w:t>赔偿由此造成的直接损失。</w:t>
      </w:r>
    </w:p>
    <w:p w14:paraId="3577CA3A"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（六）更换被授权人员的程序</w:t>
      </w:r>
    </w:p>
    <w:p w14:paraId="4F95D169"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基金托管</w:t>
      </w:r>
      <w:proofErr w:type="gramStart"/>
      <w:r w:rsidRPr="008958AB">
        <w:rPr>
          <w:rFonts w:ascii="宋体" w:hAnsi="宋体" w:cs="Arial" w:hint="eastAsia"/>
          <w:color w:val="000000" w:themeColor="text1"/>
          <w:sz w:val="24"/>
        </w:rPr>
        <w:t>人文件</w:t>
      </w:r>
      <w:proofErr w:type="gramEnd"/>
      <w:r w:rsidRPr="008958AB">
        <w:rPr>
          <w:rFonts w:ascii="宋体" w:hAnsi="宋体" w:cs="Arial" w:hint="eastAsia"/>
          <w:color w:val="000000" w:themeColor="text1"/>
          <w:sz w:val="24"/>
        </w:rPr>
        <w:t>正本。新的授权文件生效之后，正本送达之前，基金托管人按照新的授权文件扫描</w:t>
      </w:r>
      <w:proofErr w:type="gramStart"/>
      <w:r w:rsidRPr="008958AB">
        <w:rPr>
          <w:rFonts w:ascii="宋体" w:hAnsi="宋体" w:cs="Arial" w:hint="eastAsia"/>
          <w:color w:val="000000" w:themeColor="text1"/>
          <w:sz w:val="24"/>
        </w:rPr>
        <w:t>件内容</w:t>
      </w:r>
      <w:proofErr w:type="gramEnd"/>
      <w:r w:rsidRPr="008958AB">
        <w:rPr>
          <w:rFonts w:ascii="宋体" w:hAnsi="宋体" w:cs="Arial" w:hint="eastAsia"/>
          <w:color w:val="000000" w:themeColor="text1"/>
          <w:sz w:val="24"/>
        </w:rPr>
        <w:t>执行有关业务，如果新的授权文件正本与扫描</w:t>
      </w:r>
      <w:proofErr w:type="gramStart"/>
      <w:r w:rsidRPr="008958AB">
        <w:rPr>
          <w:rFonts w:ascii="宋体" w:hAnsi="宋体" w:cs="Arial" w:hint="eastAsia"/>
          <w:color w:val="000000" w:themeColor="text1"/>
          <w:sz w:val="24"/>
        </w:rPr>
        <w:t>件内容</w:t>
      </w:r>
      <w:proofErr w:type="gramEnd"/>
      <w:r w:rsidRPr="008958AB">
        <w:rPr>
          <w:rFonts w:ascii="宋体" w:hAnsi="宋体" w:cs="Arial" w:hint="eastAsia"/>
          <w:color w:val="000000" w:themeColor="text1"/>
          <w:sz w:val="24"/>
        </w:rPr>
        <w:t>不同，由此产生的责任由基金管理人承担</w:t>
      </w:r>
      <w:r w:rsidRPr="008958AB">
        <w:rPr>
          <w:rFonts w:ascii="宋体" w:hAnsi="宋体" w:hint="eastAsia"/>
          <w:color w:val="000000" w:themeColor="text1"/>
          <w:sz w:val="24"/>
        </w:rPr>
        <w:t>。</w:t>
      </w:r>
      <w:r w:rsidRPr="008958AB">
        <w:rPr>
          <w:rFonts w:ascii="宋体" w:hAnsi="宋体" w:cs="Arial" w:hint="eastAsia"/>
          <w:color w:val="000000" w:themeColor="text1"/>
          <w:sz w:val="24"/>
        </w:rPr>
        <w:t>基金托管人更换接受基金管理人指令的传真号或邮箱地址，应提前通知基金管理人。</w:t>
      </w:r>
    </w:p>
    <w:p w14:paraId="418F87C7"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（七）其他事项</w:t>
      </w:r>
    </w:p>
    <w:p w14:paraId="3A58C6F1"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7AD4E9BB"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基金参与认购未上市债券时，基金管理人应代表本基金与对手方签署相关合同或协议，明确约定债券过户具体事宜。否则，基金管理人需对所认购债券的过户事宜承担相应责任。</w:t>
      </w:r>
    </w:p>
    <w:p w14:paraId="5517B780" w14:textId="77777777" w:rsidR="00B438AF" w:rsidRPr="008958AB" w:rsidRDefault="00B438AF">
      <w:pPr>
        <w:adjustRightInd w:val="0"/>
        <w:snapToGrid w:val="0"/>
        <w:spacing w:line="360" w:lineRule="auto"/>
        <w:rPr>
          <w:rFonts w:ascii="宋体" w:hAnsi="宋体" w:cs="Arial"/>
          <w:color w:val="000000" w:themeColor="text1"/>
          <w:sz w:val="24"/>
        </w:rPr>
      </w:pPr>
    </w:p>
    <w:p w14:paraId="09E77A0D" w14:textId="77777777" w:rsidR="00B438AF" w:rsidRPr="008958AB" w:rsidRDefault="006C47E3">
      <w:pPr>
        <w:pStyle w:val="2"/>
        <w:spacing w:line="360" w:lineRule="auto"/>
        <w:jc w:val="center"/>
        <w:rPr>
          <w:rFonts w:ascii="宋体" w:eastAsia="宋体" w:hAnsi="宋体"/>
          <w:color w:val="000000" w:themeColor="text1"/>
          <w:sz w:val="30"/>
        </w:rPr>
      </w:pPr>
      <w:bookmarkStart w:id="64" w:name="_Toc86649725"/>
      <w:bookmarkStart w:id="65" w:name="_Toc84234437"/>
      <w:bookmarkStart w:id="66" w:name="_Toc118212953"/>
      <w:bookmarkStart w:id="67" w:name="_Toc120435786"/>
      <w:bookmarkStart w:id="68" w:name="_Toc118972651"/>
      <w:bookmarkStart w:id="69" w:name="_Toc110830495"/>
      <w:bookmarkStart w:id="70" w:name="_Toc110765663"/>
      <w:bookmarkStart w:id="71" w:name="_Toc84133788"/>
      <w:bookmarkStart w:id="72" w:name="_Toc86737932"/>
      <w:bookmarkStart w:id="73" w:name="_Toc118774806"/>
      <w:bookmarkStart w:id="74" w:name="_Toc86223245"/>
      <w:bookmarkStart w:id="75" w:name="_Toc119402713"/>
      <w:bookmarkStart w:id="76" w:name="_Toc86225294"/>
      <w:bookmarkStart w:id="77" w:name="_Toc89163371"/>
      <w:bookmarkStart w:id="78" w:name="_Toc86726442"/>
      <w:bookmarkStart w:id="79" w:name="_Toc124325891"/>
      <w:bookmarkStart w:id="80" w:name="_Toc110761799"/>
      <w:bookmarkStart w:id="81" w:name="_Toc84234390"/>
      <w:bookmarkStart w:id="82" w:name="_Toc86727358"/>
      <w:bookmarkStart w:id="83" w:name="_Toc86204791"/>
      <w:bookmarkStart w:id="84" w:name="_Toc108512361"/>
      <w:r w:rsidRPr="008958AB">
        <w:rPr>
          <w:rFonts w:ascii="宋体" w:eastAsia="宋体" w:hAnsi="宋体" w:hint="eastAsia"/>
          <w:color w:val="000000" w:themeColor="text1"/>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20CEB29"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（一）选择证券/期货买卖的证券/期货经纪机构</w:t>
      </w:r>
    </w:p>
    <w:p w14:paraId="64A637F8" w14:textId="49EA4D2F"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管理人应设计选择证券买卖的证券经纪机构的标准和程序。基金管理人应代表基金与被选择的证券经纪机构签订证券经纪合同或其他约定的形式。基金管理人、基金托管人和证券经纪机构就本基金参与证券交易的具体事项另行签订证券经纪服务协议，明确三方在本基金参与场内证券买卖中的各类证券交易、证券交收及相关资金交</w:t>
      </w:r>
      <w:proofErr w:type="gramStart"/>
      <w:r w:rsidRPr="008958AB">
        <w:rPr>
          <w:rFonts w:ascii="宋体" w:hAnsi="宋体" w:cs="Arial" w:hint="eastAsia"/>
          <w:color w:val="000000" w:themeColor="text1"/>
          <w:sz w:val="24"/>
        </w:rPr>
        <w:t>收过程</w:t>
      </w:r>
      <w:proofErr w:type="gramEnd"/>
      <w:r w:rsidRPr="008958AB">
        <w:rPr>
          <w:rFonts w:ascii="宋体" w:hAnsi="宋体" w:cs="Arial" w:hint="eastAsia"/>
          <w:color w:val="000000" w:themeColor="text1"/>
          <w:sz w:val="24"/>
        </w:rPr>
        <w:t>中的职责和义务。基金管理人应及时将基金佣金费率等基本信息以及变更情况以书面形式通知基金托管人,并在法定信息披露公告中披露关于选择证券公司的标准和程序等信息。</w:t>
      </w:r>
    </w:p>
    <w:p w14:paraId="57BE082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本基金在开始进行期货投资之前，基金管理人应与基金托管人、期货公司三方</w:t>
      </w:r>
      <w:proofErr w:type="gramStart"/>
      <w:r w:rsidRPr="008958AB">
        <w:rPr>
          <w:rFonts w:ascii="宋体" w:hAnsi="宋体" w:cs="Arial" w:hint="eastAsia"/>
          <w:color w:val="000000" w:themeColor="text1"/>
          <w:sz w:val="24"/>
        </w:rPr>
        <w:t>一同就</w:t>
      </w:r>
      <w:proofErr w:type="gramEnd"/>
      <w:r w:rsidRPr="008958AB">
        <w:rPr>
          <w:rFonts w:ascii="宋体" w:hAnsi="宋体" w:cs="Arial" w:hint="eastAsia"/>
          <w:color w:val="000000" w:themeColor="text1"/>
          <w:sz w:val="24"/>
        </w:rPr>
        <w:t>期货开户、清算、估值、交收等事宜另行签署《期货投资托管操作三方备忘录》。</w:t>
      </w:r>
    </w:p>
    <w:p w14:paraId="304B789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5A5E0A1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因相关法律法规或交易规则的修改带来的变化以届时有效的法律法规和相关交易规则为准。</w:t>
      </w:r>
    </w:p>
    <w:p w14:paraId="64B57735"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（二）基金投资证券后的清算交收安排</w:t>
      </w:r>
    </w:p>
    <w:p w14:paraId="20AB133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1.清算与交割</w:t>
      </w:r>
    </w:p>
    <w:p w14:paraId="5E0CA1C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通过证券经纪机构进行的交易由证券经纪机构作为结算参与人代理本基金进行结算，本基金通过期货经纪机构进行的交易由期货经纪机构作为结算参与人代理本基金进行结算。本基金其它证券交易由基金托管人或相关机构负责结算，场外资金汇划由基金托管人根据基金管理人的场外交易划款指令具体办理。</w:t>
      </w:r>
    </w:p>
    <w:p w14:paraId="25A6709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证券经纪机构代理本基金财产与中国证券登记结算有限责任公司完成证券交易及</w:t>
      </w:r>
      <w:proofErr w:type="gramStart"/>
      <w:r w:rsidRPr="008958AB">
        <w:rPr>
          <w:rFonts w:ascii="宋体" w:hAnsi="宋体" w:cs="Arial" w:hint="eastAsia"/>
          <w:color w:val="000000" w:themeColor="text1"/>
          <w:sz w:val="24"/>
        </w:rPr>
        <w:t>非交易</w:t>
      </w:r>
      <w:proofErr w:type="gramEnd"/>
      <w:r w:rsidRPr="008958AB">
        <w:rPr>
          <w:rFonts w:ascii="宋体" w:hAnsi="宋体" w:cs="Arial" w:hint="eastAsia"/>
          <w:color w:val="000000" w:themeColor="text1"/>
          <w:sz w:val="24"/>
        </w:rPr>
        <w:t>涉及的证券资金结算业务，并承担由证券经纪机构原因造成的正常结算、交收业务无法完成的责任；若由于基金管理</w:t>
      </w:r>
      <w:proofErr w:type="gramStart"/>
      <w:r w:rsidRPr="008958AB">
        <w:rPr>
          <w:rFonts w:ascii="宋体" w:hAnsi="宋体" w:cs="Arial" w:hint="eastAsia"/>
          <w:color w:val="000000" w:themeColor="text1"/>
          <w:sz w:val="24"/>
        </w:rPr>
        <w:t>人原因</w:t>
      </w:r>
      <w:proofErr w:type="gramEnd"/>
      <w:r w:rsidRPr="008958AB">
        <w:rPr>
          <w:rFonts w:ascii="宋体" w:hAnsi="宋体" w:cs="Arial" w:hint="eastAsia"/>
          <w:color w:val="000000" w:themeColor="text1"/>
          <w:sz w:val="24"/>
        </w:rPr>
        <w:t>造成的正常结算业务无法完成，责任由基金管理人承担。</w:t>
      </w:r>
    </w:p>
    <w:p w14:paraId="455FAC5A" w14:textId="64F32193"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对于任何原因发生的证券资金交收违约事件，相关各方应当及时协商解决。由</w:t>
      </w:r>
      <w:r w:rsidRPr="008958AB">
        <w:rPr>
          <w:rFonts w:ascii="宋体" w:hAnsi="宋体" w:cs="Arial" w:hint="eastAsia"/>
          <w:color w:val="000000" w:themeColor="text1"/>
          <w:sz w:val="24"/>
        </w:rPr>
        <w:lastRenderedPageBreak/>
        <w:t>于相关方过错在清算上造成基金财产的直接损失，应由过错方承担相应责任。</w:t>
      </w:r>
    </w:p>
    <w:p w14:paraId="0263D982" w14:textId="5E5BE835"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color w:val="000000" w:themeColor="text1"/>
          <w:sz w:val="24"/>
        </w:rPr>
        <w:t>2</w:t>
      </w:r>
      <w:r w:rsidRPr="008958AB">
        <w:rPr>
          <w:rFonts w:ascii="宋体" w:hAnsi="宋体" w:cs="Arial" w:hint="eastAsia"/>
          <w:color w:val="000000" w:themeColor="text1"/>
          <w:sz w:val="24"/>
        </w:rPr>
        <w:t>.交易记录、资金和证券/期货账目核对的时间和方式</w:t>
      </w:r>
    </w:p>
    <w:p w14:paraId="4B9BF76A"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（1）交易记录的核对</w:t>
      </w:r>
    </w:p>
    <w:p w14:paraId="396F774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基金管理人按日进行交易记录的核对。每</w:t>
      </w:r>
      <w:r w:rsidRPr="008958AB">
        <w:rPr>
          <w:rFonts w:ascii="宋体" w:hAnsi="宋体" w:hint="eastAsia"/>
          <w:color w:val="000000" w:themeColor="text1"/>
          <w:kern w:val="0"/>
          <w:sz w:val="24"/>
        </w:rPr>
        <w:t>个估值</w:t>
      </w:r>
      <w:r w:rsidRPr="008958AB">
        <w:rPr>
          <w:rFonts w:ascii="宋体" w:hAnsi="宋体" w:cs="Arial" w:hint="eastAsia"/>
          <w:color w:val="000000" w:themeColor="text1"/>
          <w:sz w:val="24"/>
        </w:rPr>
        <w:t>日对外披露</w:t>
      </w:r>
      <w:r w:rsidRPr="008958AB">
        <w:rPr>
          <w:rFonts w:ascii="宋体" w:hAnsi="宋体" w:hint="eastAsia"/>
          <w:color w:val="000000" w:themeColor="text1"/>
          <w:kern w:val="0"/>
          <w:sz w:val="24"/>
        </w:rPr>
        <w:t>基金份额</w:t>
      </w:r>
      <w:r w:rsidRPr="008958AB">
        <w:rPr>
          <w:rFonts w:ascii="宋体" w:hAnsi="宋体" w:cs="Arial" w:hint="eastAsia"/>
          <w:color w:val="000000" w:themeColor="text1"/>
          <w:sz w:val="24"/>
        </w:rPr>
        <w:t>净值之前，必须保证当天所有实际交易记录与基金会计账簿上的交易记录完全一致。如果实际交易记录与会计账簿记录不一致，造成基金会计核算不完整或不真实，由此导致的损失由基金管理人承担。</w:t>
      </w:r>
    </w:p>
    <w:p w14:paraId="043F9A2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（2）资金账目的核对</w:t>
      </w:r>
    </w:p>
    <w:p w14:paraId="1709052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资金账目按日核实。</w:t>
      </w:r>
    </w:p>
    <w:p w14:paraId="5017C49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（3）证券/期货账目的核对</w:t>
      </w:r>
    </w:p>
    <w:p w14:paraId="3ADCE43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基金管理人和基金托管人每个估值日结束后核对基金证券/期货账目，确保双方账目相符。</w:t>
      </w:r>
    </w:p>
    <w:p w14:paraId="472CD1C6"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（三）基金申购和赎回业务处理的基本规定</w:t>
      </w:r>
    </w:p>
    <w:p w14:paraId="1D787C10"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1.基金份额申购、赎回的确认、清算由基金管理人或其委托的登记机构负责。</w:t>
      </w:r>
    </w:p>
    <w:p w14:paraId="323C3134"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A3864FE"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3.基金管理人应保证本基金（或本基金管理人委托）的登记机构每个工作日15:00前向基金托管人发送前一开放</w:t>
      </w:r>
      <w:proofErr w:type="gramStart"/>
      <w:r w:rsidRPr="008958AB">
        <w:rPr>
          <w:rFonts w:ascii="宋体" w:hAnsi="宋体" w:cs="Arial" w:hint="eastAsia"/>
          <w:color w:val="000000" w:themeColor="text1"/>
          <w:sz w:val="24"/>
        </w:rPr>
        <w:t>日上述</w:t>
      </w:r>
      <w:proofErr w:type="gramEnd"/>
      <w:r w:rsidRPr="008958AB">
        <w:rPr>
          <w:rFonts w:ascii="宋体" w:hAnsi="宋体" w:cs="Arial" w:hint="eastAsia"/>
          <w:color w:val="000000" w:themeColor="text1"/>
          <w:sz w:val="24"/>
        </w:rPr>
        <w:t>有关数据，并保证相关数据的准确、完整。</w:t>
      </w:r>
    </w:p>
    <w:p w14:paraId="70873A97"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4.登记机构应通过与基金托管人建立的加密系统发送有关数据，如因各种原因，该系统无法正常发送，双方可协商解决处理方式。基金管理人向基金托管人发送的数据，双方各自按有关规定保存。</w:t>
      </w:r>
    </w:p>
    <w:p w14:paraId="0EDF964A"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5.如基金管理人委托其他机构办理本基金的登记业务，应保证上述相关事宜按时进行。否则，由基金管理人承担相应的责任。</w:t>
      </w:r>
    </w:p>
    <w:p w14:paraId="329549DC"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6.关于清算专用账户的设立和管理</w:t>
      </w:r>
    </w:p>
    <w:p w14:paraId="243F4082"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为满足申购、赎回及分红资金汇划的需要，由基金管理人开立资金清算的专用账户，该账户由登记机构管理。</w:t>
      </w:r>
    </w:p>
    <w:p w14:paraId="299A8EEC"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7.对于基金申购过程中产生的应收款，应由基金管理人负责与有关当事人确</w:t>
      </w:r>
      <w:r w:rsidRPr="008958AB">
        <w:rPr>
          <w:rFonts w:ascii="宋体" w:hAnsi="宋体" w:cs="Arial" w:hint="eastAsia"/>
          <w:color w:val="000000" w:themeColor="text1"/>
          <w:sz w:val="24"/>
        </w:rPr>
        <w:lastRenderedPageBreak/>
        <w:t>定到账日期并通知基金托管人，到账日应收款没有到达基金托管资金账户的，基金托管人应及时通知基金管理人采取措施进行催收，由此造成基金损失的，基金管理人应负责向有关当事人追偿基金的损失。</w:t>
      </w:r>
    </w:p>
    <w:p w14:paraId="2969C974"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8.赎回和分红资金划拨规定</w:t>
      </w:r>
    </w:p>
    <w:p w14:paraId="5A623930"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拨付</w:t>
      </w:r>
      <w:proofErr w:type="gramStart"/>
      <w:r w:rsidRPr="008958AB">
        <w:rPr>
          <w:rFonts w:ascii="宋体" w:hAnsi="宋体" w:cs="Arial" w:hint="eastAsia"/>
          <w:color w:val="000000" w:themeColor="text1"/>
          <w:sz w:val="24"/>
        </w:rPr>
        <w:t>赎回款</w:t>
      </w:r>
      <w:proofErr w:type="gramEnd"/>
      <w:r w:rsidRPr="008958AB">
        <w:rPr>
          <w:rFonts w:ascii="宋体" w:hAnsi="宋体" w:cs="Arial" w:hint="eastAsia"/>
          <w:color w:val="000000" w:themeColor="text1"/>
          <w:sz w:val="24"/>
        </w:rPr>
        <w:t>或进行基金分红时，如基金托管资金账户有足够的资金，基金托管人应按时拨付；因基金托管资金账户没有足够的资金，导致基金托管人不能按时拨付，如</w:t>
      </w:r>
      <w:proofErr w:type="gramStart"/>
      <w:r w:rsidRPr="008958AB">
        <w:rPr>
          <w:rFonts w:ascii="宋体" w:hAnsi="宋体" w:cs="Arial" w:hint="eastAsia"/>
          <w:color w:val="000000" w:themeColor="text1"/>
          <w:sz w:val="24"/>
        </w:rPr>
        <w:t>系基金</w:t>
      </w:r>
      <w:proofErr w:type="gramEnd"/>
      <w:r w:rsidRPr="008958AB">
        <w:rPr>
          <w:rFonts w:ascii="宋体" w:hAnsi="宋体" w:cs="Arial" w:hint="eastAsia"/>
          <w:color w:val="000000" w:themeColor="text1"/>
          <w:sz w:val="24"/>
        </w:rPr>
        <w:t>管理人的原因造成，责任由基金管理人承担，基金托管人不承担垫款义务。</w:t>
      </w:r>
    </w:p>
    <w:p w14:paraId="0538BC4F"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9.资金指令</w:t>
      </w:r>
    </w:p>
    <w:p w14:paraId="6C9CDC51"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除申购款项到达基金托管资金账户需双方按约定方式对账外，回购到期付款和与投资有关的付款、赎回和分红资金划拨时，基金管理人需向基金托管人下达指令。</w:t>
      </w:r>
    </w:p>
    <w:p w14:paraId="58BD036A"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资金指令的格式、内容、发送、接收和确认方式等与投资指令相同。</w:t>
      </w:r>
    </w:p>
    <w:p w14:paraId="6638DA3D"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（四）</w:t>
      </w:r>
      <w:proofErr w:type="gramStart"/>
      <w:r w:rsidRPr="008958AB">
        <w:rPr>
          <w:rFonts w:ascii="宋体" w:hAnsi="宋体" w:cs="Arial" w:hint="eastAsia"/>
          <w:color w:val="000000" w:themeColor="text1"/>
          <w:sz w:val="24"/>
        </w:rPr>
        <w:t>申赎净额</w:t>
      </w:r>
      <w:proofErr w:type="gramEnd"/>
      <w:r w:rsidRPr="008958AB">
        <w:rPr>
          <w:rFonts w:ascii="宋体" w:hAnsi="宋体" w:cs="Arial" w:hint="eastAsia"/>
          <w:color w:val="000000" w:themeColor="text1"/>
          <w:sz w:val="24"/>
        </w:rPr>
        <w:t>结算</w:t>
      </w:r>
    </w:p>
    <w:p w14:paraId="2E19431B"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托管资金账户与“基金清算账户”间的资金清算遵循“全额清算、净额交收”的原则，即按照托管资金账户当日应收资金与托管资金账户应付额的差额来确定托管资金账户净应收额或净应付额，以此确定资金交收额。当存在托管资金账户净应收额时，基金管理人应在</w:t>
      </w:r>
      <w:proofErr w:type="gramStart"/>
      <w:r w:rsidRPr="008958AB">
        <w:rPr>
          <w:rFonts w:ascii="宋体" w:hAnsi="宋体" w:cs="Arial" w:hint="eastAsia"/>
          <w:color w:val="000000" w:themeColor="text1"/>
          <w:sz w:val="24"/>
        </w:rPr>
        <w:t>交收日</w:t>
      </w:r>
      <w:proofErr w:type="gramEnd"/>
      <w:r w:rsidRPr="008958AB">
        <w:rPr>
          <w:rFonts w:ascii="宋体" w:hAnsi="宋体" w:cs="Arial"/>
          <w:color w:val="000000" w:themeColor="text1"/>
          <w:sz w:val="24"/>
        </w:rPr>
        <w:t>15:00之前</w:t>
      </w:r>
      <w:r w:rsidRPr="008958AB">
        <w:rPr>
          <w:rFonts w:ascii="宋体" w:hAnsi="宋体" w:cs="Arial" w:hint="eastAsia"/>
          <w:color w:val="000000" w:themeColor="text1"/>
          <w:sz w:val="24"/>
        </w:rPr>
        <w:t>将托管资金账户净应收额从“基金清算账户”划到基金托管资金账户；当存在托管资金账户净应付额时，</w:t>
      </w:r>
      <w:r w:rsidRPr="008958AB">
        <w:rPr>
          <w:rFonts w:ascii="宋体" w:hAnsi="宋体" w:cs="Arial"/>
          <w:color w:val="000000" w:themeColor="text1"/>
          <w:sz w:val="24"/>
        </w:rPr>
        <w:t>基金管理人应在</w:t>
      </w:r>
      <w:proofErr w:type="gramStart"/>
      <w:r w:rsidRPr="008958AB">
        <w:rPr>
          <w:rFonts w:ascii="宋体" w:hAnsi="宋体" w:cs="Arial" w:hint="eastAsia"/>
          <w:color w:val="000000" w:themeColor="text1"/>
          <w:sz w:val="24"/>
        </w:rPr>
        <w:t>交收</w:t>
      </w:r>
      <w:r w:rsidRPr="008958AB">
        <w:rPr>
          <w:rFonts w:ascii="宋体" w:hAnsi="宋体" w:cs="Arial"/>
          <w:color w:val="000000" w:themeColor="text1"/>
          <w:sz w:val="24"/>
        </w:rPr>
        <w:t>日</w:t>
      </w:r>
      <w:proofErr w:type="gramEnd"/>
      <w:r w:rsidRPr="008958AB">
        <w:rPr>
          <w:rFonts w:ascii="宋体" w:hAnsi="宋体" w:cs="Arial" w:hint="eastAsia"/>
          <w:color w:val="000000" w:themeColor="text1"/>
          <w:sz w:val="24"/>
        </w:rPr>
        <w:t>10：00前</w:t>
      </w:r>
      <w:r w:rsidRPr="008958AB">
        <w:rPr>
          <w:rFonts w:ascii="宋体" w:hAnsi="宋体" w:cs="Arial"/>
          <w:color w:val="000000" w:themeColor="text1"/>
          <w:sz w:val="24"/>
        </w:rPr>
        <w:t>将划款指令发送给基金托管人，基金托管人按基金管理人的划款指令将托管</w:t>
      </w:r>
      <w:r w:rsidRPr="008958AB">
        <w:rPr>
          <w:rFonts w:ascii="宋体" w:hAnsi="宋体" w:cs="Arial" w:hint="eastAsia"/>
          <w:color w:val="000000" w:themeColor="text1"/>
          <w:sz w:val="24"/>
        </w:rPr>
        <w:t>资金</w:t>
      </w:r>
      <w:r w:rsidRPr="008958AB">
        <w:rPr>
          <w:rFonts w:ascii="宋体" w:hAnsi="宋体" w:cs="Arial"/>
          <w:color w:val="000000" w:themeColor="text1"/>
          <w:sz w:val="24"/>
        </w:rPr>
        <w:t>账户净应付额在</w:t>
      </w:r>
      <w:proofErr w:type="gramStart"/>
      <w:r w:rsidRPr="008958AB">
        <w:rPr>
          <w:rFonts w:ascii="宋体" w:hAnsi="宋体" w:cs="Arial" w:hint="eastAsia"/>
          <w:color w:val="000000" w:themeColor="text1"/>
          <w:sz w:val="24"/>
        </w:rPr>
        <w:t>交收</w:t>
      </w:r>
      <w:r w:rsidRPr="008958AB">
        <w:rPr>
          <w:rFonts w:ascii="宋体" w:hAnsi="宋体" w:cs="Arial"/>
          <w:color w:val="000000" w:themeColor="text1"/>
          <w:sz w:val="24"/>
        </w:rPr>
        <w:t>日</w:t>
      </w:r>
      <w:proofErr w:type="gramEnd"/>
      <w:r w:rsidRPr="008958AB">
        <w:rPr>
          <w:rFonts w:ascii="宋体" w:hAnsi="宋体" w:cs="Arial"/>
          <w:color w:val="000000" w:themeColor="text1"/>
          <w:sz w:val="24"/>
        </w:rPr>
        <w:t>15:00之前</w:t>
      </w:r>
      <w:r w:rsidRPr="008958AB">
        <w:rPr>
          <w:rFonts w:ascii="宋体" w:hAnsi="宋体" w:cs="Arial" w:hint="eastAsia"/>
          <w:color w:val="000000" w:themeColor="text1"/>
          <w:sz w:val="24"/>
        </w:rPr>
        <w:t>将托管资金账户净应付</w:t>
      </w:r>
      <w:proofErr w:type="gramStart"/>
      <w:r w:rsidRPr="008958AB">
        <w:rPr>
          <w:rFonts w:ascii="宋体" w:hAnsi="宋体" w:cs="Arial" w:hint="eastAsia"/>
          <w:color w:val="000000" w:themeColor="text1"/>
          <w:sz w:val="24"/>
        </w:rPr>
        <w:t>额划往</w:t>
      </w:r>
      <w:proofErr w:type="gramEnd"/>
      <w:r w:rsidRPr="008958AB">
        <w:rPr>
          <w:rFonts w:ascii="宋体" w:hAnsi="宋体" w:cs="Arial" w:hint="eastAsia"/>
          <w:color w:val="000000" w:themeColor="text1"/>
          <w:sz w:val="24"/>
        </w:rPr>
        <w:t>“基金清算账户”。</w:t>
      </w:r>
    </w:p>
    <w:p w14:paraId="1A3040B2" w14:textId="77777777" w:rsidR="00B438AF" w:rsidRPr="008958AB" w:rsidRDefault="006C47E3">
      <w:pPr>
        <w:widowControl/>
        <w:spacing w:line="360" w:lineRule="auto"/>
        <w:ind w:right="28" w:firstLine="480"/>
        <w:rPr>
          <w:rFonts w:ascii="宋体" w:hAnsi="宋体" w:cs="Arial"/>
          <w:color w:val="000000" w:themeColor="text1"/>
          <w:sz w:val="24"/>
        </w:rPr>
      </w:pPr>
      <w:r w:rsidRPr="008958AB">
        <w:rPr>
          <w:rFonts w:ascii="宋体" w:hAnsi="宋体" w:cs="Arial" w:hint="eastAsia"/>
          <w:color w:val="000000" w:themeColor="text1"/>
          <w:sz w:val="24"/>
        </w:rPr>
        <w:t>（五）基金转换</w:t>
      </w:r>
    </w:p>
    <w:p w14:paraId="482EB6F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color w:val="000000" w:themeColor="text1"/>
          <w:sz w:val="24"/>
        </w:rPr>
        <w:t>1.基金托管人将根据基金管理人传送的基金转换数据进行账务处理，</w:t>
      </w:r>
      <w:proofErr w:type="gramStart"/>
      <w:r w:rsidRPr="008958AB">
        <w:rPr>
          <w:rFonts w:ascii="宋体" w:hAnsi="宋体" w:cs="Arial" w:hint="eastAsia"/>
          <w:color w:val="000000" w:themeColor="text1"/>
          <w:sz w:val="24"/>
        </w:rPr>
        <w:t>具体资金</w:t>
      </w:r>
      <w:proofErr w:type="gramEnd"/>
      <w:r w:rsidRPr="008958AB">
        <w:rPr>
          <w:rFonts w:ascii="宋体" w:hAnsi="宋体" w:cs="Arial" w:hint="eastAsia"/>
          <w:color w:val="000000" w:themeColor="text1"/>
          <w:sz w:val="24"/>
        </w:rPr>
        <w:t>清算和数据传递的时间、程序及托管协议当事人承担的权责按基金管理人届时的公告执行。</w:t>
      </w:r>
    </w:p>
    <w:p w14:paraId="432F0F4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color w:val="000000" w:themeColor="text1"/>
          <w:sz w:val="24"/>
        </w:rPr>
        <w:t>2.本基金开展基金转换业务应按相关法律法规规定及《基金合同》的约定进行公告。</w:t>
      </w:r>
    </w:p>
    <w:p w14:paraId="7F6B05CA"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（六）基金现金分红</w:t>
      </w:r>
    </w:p>
    <w:p w14:paraId="47CA0A26" w14:textId="77777777" w:rsidR="00B438AF" w:rsidRPr="008958AB" w:rsidRDefault="006C47E3">
      <w:pPr>
        <w:adjustRightInd w:val="0"/>
        <w:snapToGrid w:val="0"/>
        <w:spacing w:line="360" w:lineRule="auto"/>
        <w:ind w:firstLineChars="200" w:firstLine="480"/>
        <w:rPr>
          <w:rFonts w:ascii="宋体" w:hAnsi="宋体"/>
          <w:color w:val="000000" w:themeColor="text1"/>
          <w:sz w:val="24"/>
          <w:szCs w:val="18"/>
        </w:rPr>
      </w:pPr>
      <w:r w:rsidRPr="008958AB">
        <w:rPr>
          <w:rFonts w:ascii="宋体" w:hAnsi="宋体" w:cs="Arial" w:hint="eastAsia"/>
          <w:color w:val="000000" w:themeColor="text1"/>
          <w:sz w:val="24"/>
        </w:rPr>
        <w:t>1.基金管理人确定分红方案通知基金托管人，双方核定后</w:t>
      </w:r>
      <w:r w:rsidRPr="008958AB">
        <w:rPr>
          <w:rFonts w:ascii="宋体" w:hAnsi="宋体" w:hint="eastAsia"/>
          <w:color w:val="000000" w:themeColor="text1"/>
          <w:sz w:val="24"/>
          <w:szCs w:val="18"/>
        </w:rPr>
        <w:t>依照《信息披露办法》</w:t>
      </w:r>
      <w:r w:rsidRPr="008958AB">
        <w:rPr>
          <w:rFonts w:ascii="宋体" w:hAnsi="宋体" w:hint="eastAsia"/>
          <w:color w:val="000000" w:themeColor="text1"/>
          <w:sz w:val="24"/>
          <w:szCs w:val="18"/>
        </w:rPr>
        <w:lastRenderedPageBreak/>
        <w:t>的有关规定在中国证监会规定媒介上公告</w:t>
      </w:r>
      <w:r w:rsidRPr="008958AB">
        <w:rPr>
          <w:rFonts w:ascii="宋体" w:hAnsi="宋体" w:cs="Arial" w:hint="eastAsia"/>
          <w:color w:val="000000" w:themeColor="text1"/>
          <w:sz w:val="24"/>
        </w:rPr>
        <w:t>。</w:t>
      </w:r>
    </w:p>
    <w:p w14:paraId="2CF41FB5"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2.基金托管人和基金管理人对基金分红进行账务处理并核对后，基金管理人向基金托管人发送现金红利的划款指令，基金托管人应及时将资金划入专用账户。</w:t>
      </w:r>
    </w:p>
    <w:p w14:paraId="2C713CAB"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3.基金管理人在下达指令时，应给基金托管人留出必需的划款时间。</w:t>
      </w:r>
    </w:p>
    <w:p w14:paraId="0F3144C4"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（七）投资银行存款的特别约定</w:t>
      </w:r>
    </w:p>
    <w:p w14:paraId="7027C21B"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1.本基金投资银行存款前，基金管理人应与存款银行签订具体存款协议，包括但不限于以下内容：</w:t>
      </w:r>
    </w:p>
    <w:p w14:paraId="404E7AC6"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（1）存款账户必须以本基金名义开立,并将基金托管人为本基金开立的基金托管资金账户指定为唯一回款账户，任何情况下，存款银行都不得将存款投资</w:t>
      </w:r>
      <w:proofErr w:type="gramStart"/>
      <w:r w:rsidRPr="008958AB">
        <w:rPr>
          <w:rFonts w:ascii="宋体" w:hAnsi="宋体" w:cs="Arial" w:hint="eastAsia"/>
          <w:color w:val="000000" w:themeColor="text1"/>
          <w:sz w:val="24"/>
        </w:rPr>
        <w:t>本息划往任何</w:t>
      </w:r>
      <w:proofErr w:type="gramEnd"/>
      <w:r w:rsidRPr="008958AB">
        <w:rPr>
          <w:rFonts w:ascii="宋体" w:hAnsi="宋体" w:cs="Arial" w:hint="eastAsia"/>
          <w:color w:val="000000" w:themeColor="text1"/>
          <w:sz w:val="24"/>
        </w:rPr>
        <w:t>其他账户。</w:t>
      </w:r>
    </w:p>
    <w:p w14:paraId="1DC8C63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（2）存款银行不得接受基金管理人或基金托管人任何一方单方面提出的对存款进行更名、转让、挂失、质押、担保、撤销、变更印鉴及回款账户信息等可能导致财产转移的操作申请。</w:t>
      </w:r>
    </w:p>
    <w:p w14:paraId="3A69D08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（3）约定存款证实书的具体传递交接方式及交接期限。</w:t>
      </w:r>
    </w:p>
    <w:p w14:paraId="08709D2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（4）资金划转过程中需要使用存款银行过渡账户的，存款银行须保证资金在过渡账户中不出现滞留，不被挪用。</w:t>
      </w:r>
    </w:p>
    <w:p w14:paraId="63490B0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0437DD3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6E2D3A46" w14:textId="77777777" w:rsidR="00B438AF" w:rsidRPr="008958AB" w:rsidRDefault="006C47E3">
      <w:pPr>
        <w:spacing w:line="360" w:lineRule="auto"/>
        <w:ind w:firstLineChars="200" w:firstLine="480"/>
        <w:rPr>
          <w:rFonts w:ascii="宋体" w:hAnsi="宋体" w:cs="Arial"/>
          <w:color w:val="000000" w:themeColor="text1"/>
          <w:sz w:val="24"/>
        </w:rPr>
      </w:pPr>
      <w:r w:rsidRPr="008958AB">
        <w:rPr>
          <w:rFonts w:ascii="宋体" w:hAnsi="宋体" w:cs="Arial"/>
          <w:color w:val="000000" w:themeColor="text1"/>
          <w:sz w:val="24"/>
        </w:rPr>
        <w:t>4</w:t>
      </w:r>
      <w:r w:rsidRPr="008958AB">
        <w:rPr>
          <w:rFonts w:ascii="宋体" w:hAnsi="宋体" w:cs="Arial" w:hint="eastAsia"/>
          <w:color w:val="000000" w:themeColor="text1"/>
          <w:sz w:val="24"/>
        </w:rPr>
        <w:t>.对于已移交基金托管人保管的存款开户证实书等实物凭证，基金托管人应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w:t>
      </w:r>
      <w:r w:rsidRPr="008958AB">
        <w:rPr>
          <w:rFonts w:ascii="宋体" w:hAnsi="宋体" w:cs="Arial"/>
          <w:color w:val="000000" w:themeColor="text1"/>
          <w:sz w:val="24"/>
        </w:rPr>
        <w:t>1</w:t>
      </w:r>
      <w:r w:rsidRPr="008958AB">
        <w:rPr>
          <w:rFonts w:ascii="宋体" w:hAnsi="宋体" w:cs="Arial" w:hint="eastAsia"/>
          <w:color w:val="000000" w:themeColor="text1"/>
          <w:sz w:val="24"/>
        </w:rPr>
        <w:t>）建立风险预警机制，对于实物凭证未送达集中度较高的存款银行，主动发函提示基金管理人尽量避免在此类银行进行存款投资；（</w:t>
      </w:r>
      <w:r w:rsidRPr="008958AB">
        <w:rPr>
          <w:rFonts w:ascii="宋体" w:hAnsi="宋体" w:cs="Arial"/>
          <w:color w:val="000000" w:themeColor="text1"/>
          <w:sz w:val="24"/>
        </w:rPr>
        <w:t>2</w:t>
      </w:r>
      <w:r w:rsidRPr="008958AB">
        <w:rPr>
          <w:rFonts w:ascii="宋体" w:hAnsi="宋体" w:cs="Arial" w:hint="eastAsia"/>
          <w:color w:val="000000" w:themeColor="text1"/>
          <w:sz w:val="24"/>
        </w:rPr>
        <w:t>）在定期报</w:t>
      </w:r>
      <w:r w:rsidRPr="008958AB">
        <w:rPr>
          <w:rFonts w:ascii="宋体" w:hAnsi="宋体" w:cs="Arial" w:hint="eastAsia"/>
          <w:color w:val="000000" w:themeColor="text1"/>
          <w:sz w:val="24"/>
        </w:rPr>
        <w:lastRenderedPageBreak/>
        <w:t>告中，对未按约定送达基金托管人保管的实物凭证信息进行规定范围信息披露；（</w:t>
      </w:r>
      <w:r w:rsidRPr="008958AB">
        <w:rPr>
          <w:rFonts w:ascii="宋体" w:hAnsi="宋体" w:cs="Arial"/>
          <w:color w:val="000000" w:themeColor="text1"/>
          <w:sz w:val="24"/>
        </w:rPr>
        <w:t>3</w:t>
      </w:r>
      <w:r w:rsidRPr="008958AB">
        <w:rPr>
          <w:rFonts w:ascii="宋体" w:hAnsi="宋体" w:cs="Arial" w:hint="eastAsia"/>
          <w:color w:val="000000" w:themeColor="text1"/>
          <w:sz w:val="24"/>
        </w:rPr>
        <w:t>）未送达实物凭证超过送单截止日后</w:t>
      </w:r>
      <w:r w:rsidRPr="008958AB">
        <w:rPr>
          <w:rFonts w:ascii="宋体" w:hAnsi="宋体" w:cs="Arial"/>
          <w:color w:val="000000" w:themeColor="text1"/>
          <w:sz w:val="24"/>
        </w:rPr>
        <w:t>30</w:t>
      </w:r>
      <w:r w:rsidRPr="008958AB">
        <w:rPr>
          <w:rFonts w:ascii="宋体" w:hAnsi="宋体" w:cs="Arial" w:hint="eastAsia"/>
          <w:color w:val="000000" w:themeColor="text1"/>
          <w:sz w:val="24"/>
        </w:rPr>
        <w:t>个工作日，且累计超过</w:t>
      </w:r>
      <w:r w:rsidRPr="008958AB">
        <w:rPr>
          <w:rFonts w:ascii="宋体" w:hAnsi="宋体" w:cs="Arial"/>
          <w:color w:val="000000" w:themeColor="text1"/>
          <w:sz w:val="24"/>
        </w:rPr>
        <w:t>3</w:t>
      </w:r>
      <w:r w:rsidRPr="008958AB">
        <w:rPr>
          <w:rFonts w:ascii="宋体" w:hAnsi="宋体" w:cs="Arial" w:hint="eastAsia"/>
          <w:color w:val="000000" w:themeColor="text1"/>
          <w:sz w:val="24"/>
        </w:rPr>
        <w:t>笔（含）以上的，部分或全部暂停配合基金管理人办理后续新增存款投资业务，直至实物凭证送达基金托管人保管后解除。实物凭证未送达但存款本息已安全划回托管资金账户的，以及因发生特殊情况由基金管理人提供相关书面说明并重新承诺送单截止时间的，可剔除不计。</w:t>
      </w:r>
    </w:p>
    <w:p w14:paraId="58218657" w14:textId="77777777" w:rsidR="00B438AF" w:rsidRPr="008958AB" w:rsidRDefault="00B438AF">
      <w:pPr>
        <w:adjustRightInd w:val="0"/>
        <w:snapToGrid w:val="0"/>
        <w:spacing w:line="360" w:lineRule="auto"/>
        <w:ind w:firstLineChars="200" w:firstLine="480"/>
        <w:rPr>
          <w:rFonts w:ascii="宋体" w:hAnsi="宋体" w:cs="Arial"/>
          <w:color w:val="000000" w:themeColor="text1"/>
          <w:sz w:val="24"/>
        </w:rPr>
      </w:pPr>
    </w:p>
    <w:p w14:paraId="192B9BA3" w14:textId="77777777" w:rsidR="00B438AF" w:rsidRPr="008958AB" w:rsidRDefault="006C47E3">
      <w:pPr>
        <w:pStyle w:val="2"/>
        <w:spacing w:line="360" w:lineRule="auto"/>
        <w:jc w:val="center"/>
        <w:rPr>
          <w:rFonts w:ascii="宋体" w:eastAsia="宋体" w:hAnsi="宋体"/>
          <w:color w:val="000000" w:themeColor="text1"/>
          <w:sz w:val="30"/>
        </w:rPr>
      </w:pPr>
      <w:bookmarkStart w:id="85" w:name="_Toc124325892"/>
      <w:r w:rsidRPr="008958AB">
        <w:rPr>
          <w:rFonts w:ascii="宋体" w:eastAsia="宋体" w:hAnsi="宋体" w:hint="eastAsia"/>
          <w:color w:val="000000" w:themeColor="text1"/>
          <w:sz w:val="30"/>
        </w:rPr>
        <w:t>八、基金资产净值计算和会计核算</w:t>
      </w:r>
      <w:bookmarkEnd w:id="85"/>
    </w:p>
    <w:p w14:paraId="38FE8280"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（一）基金资产净值的计算、复核与完成的时间及程序</w:t>
      </w:r>
    </w:p>
    <w:p w14:paraId="16E12A8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基金资产净值是指基金资产总值减去基金负债后的价值。各类别基金份额净值是按照每个工作日闭市后，该类别基金份额的基金资产净值除以当日该类别基金份额的余额数量计算，均精确到0.0001元，小数点后第5位（如有）四舍五入，由此产生的误差计入基金财产。基金管理人可以设立大额赎回情</w:t>
      </w:r>
      <w:r w:rsidRPr="008958AB">
        <w:rPr>
          <w:rFonts w:hint="eastAsia"/>
          <w:bCs/>
          <w:color w:val="000000" w:themeColor="text1"/>
          <w:sz w:val="24"/>
        </w:rPr>
        <w:t>形下的净值精度应急调整机制。国家法律法规另有规定的，从其规定。</w:t>
      </w:r>
    </w:p>
    <w:p w14:paraId="5728BE6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基金管理人应于每个估值日计算基金资产净值及各类别基金份额净值，经基金托管人复核，并按规定公告基金净值信息。</w:t>
      </w:r>
    </w:p>
    <w:p w14:paraId="511D54F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基金管理人应在每个估值日对基金资产估值。但基金管理人根据法律法规或《基金合同》的规定暂停估值时除外。基金管理人每个估值日对基金资产估值后，将基金资产净值、各类别基金份额净值结果发送基金托管人，经基金托管人复核无误后，由基金管理人</w:t>
      </w:r>
      <w:r w:rsidRPr="008958AB">
        <w:rPr>
          <w:rFonts w:hint="eastAsia"/>
          <w:bCs/>
          <w:color w:val="000000" w:themeColor="text1"/>
          <w:sz w:val="24"/>
        </w:rPr>
        <w:t>按规定</w:t>
      </w:r>
      <w:r w:rsidRPr="008958AB">
        <w:rPr>
          <w:rFonts w:ascii="宋体" w:hAnsi="宋体" w:cs="Arial" w:hint="eastAsia"/>
          <w:color w:val="000000" w:themeColor="text1"/>
          <w:sz w:val="24"/>
        </w:rPr>
        <w:t>对外公布。</w:t>
      </w:r>
    </w:p>
    <w:p w14:paraId="6D50DED1" w14:textId="77777777" w:rsidR="00B438AF" w:rsidRPr="008958AB" w:rsidRDefault="006C47E3">
      <w:pPr>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（二）基金资产估值方法和特殊情形的处理</w:t>
      </w:r>
    </w:p>
    <w:p w14:paraId="5280F16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1.估值对象</w:t>
      </w:r>
    </w:p>
    <w:p w14:paraId="37B9276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hint="eastAsia"/>
          <w:bCs/>
          <w:color w:val="000000" w:themeColor="text1"/>
          <w:sz w:val="24"/>
        </w:rPr>
        <w:t>基金所拥有的股票、存托凭证、衍生工具、债券和银行存款本息、应收款项、资产支持证券、其它投资等资产及负债。</w:t>
      </w:r>
    </w:p>
    <w:p w14:paraId="5528617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2.估值方法</w:t>
      </w:r>
    </w:p>
    <w:p w14:paraId="093113E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本基金所持有的投资品种，按如下原则进行估值：</w:t>
      </w:r>
    </w:p>
    <w:p w14:paraId="3AD4C1A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（1）证券交易所上市的有价证券的估值</w:t>
      </w:r>
    </w:p>
    <w:p w14:paraId="0F15395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交易所上市的有价证券（包括股票等），以其估值日在证券交易所挂牌的市价</w:t>
      </w:r>
      <w:r w:rsidRPr="008958AB">
        <w:rPr>
          <w:rFonts w:ascii="宋体" w:hAnsi="宋体" w:cs="Arial" w:hint="eastAsia"/>
          <w:color w:val="000000" w:themeColor="text1"/>
          <w:sz w:val="24"/>
        </w:rPr>
        <w:lastRenderedPageBreak/>
        <w:t>（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C45C87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（2）固定收益品种的估值</w:t>
      </w:r>
    </w:p>
    <w:p w14:paraId="5C28AC3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1）对于已上市或已挂牌转让的不含</w:t>
      </w:r>
      <w:proofErr w:type="gramStart"/>
      <w:r w:rsidRPr="008958AB">
        <w:rPr>
          <w:rFonts w:ascii="宋体" w:hAnsi="宋体" w:cs="Arial" w:hint="eastAsia"/>
          <w:color w:val="000000" w:themeColor="text1"/>
          <w:sz w:val="24"/>
        </w:rPr>
        <w:t>权固定</w:t>
      </w:r>
      <w:proofErr w:type="gramEnd"/>
      <w:r w:rsidRPr="008958AB">
        <w:rPr>
          <w:rFonts w:ascii="宋体" w:hAnsi="宋体" w:cs="Arial" w:hint="eastAsia"/>
          <w:color w:val="000000" w:themeColor="text1"/>
          <w:sz w:val="24"/>
        </w:rPr>
        <w:t>收益品种，选取第三方估值基准服务机构提供的相应品种当日的估值全价；</w:t>
      </w:r>
    </w:p>
    <w:p w14:paraId="1F628C4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2）对于已上市或已挂牌转让的含</w:t>
      </w:r>
      <w:proofErr w:type="gramStart"/>
      <w:r w:rsidRPr="008958AB">
        <w:rPr>
          <w:rFonts w:ascii="宋体" w:hAnsi="宋体" w:cs="Arial" w:hint="eastAsia"/>
          <w:color w:val="000000" w:themeColor="text1"/>
          <w:sz w:val="24"/>
        </w:rPr>
        <w:t>权固定</w:t>
      </w:r>
      <w:proofErr w:type="gramEnd"/>
      <w:r w:rsidRPr="008958AB">
        <w:rPr>
          <w:rFonts w:ascii="宋体" w:hAnsi="宋体" w:cs="Arial" w:hint="eastAsia"/>
          <w:color w:val="000000" w:themeColor="text1"/>
          <w:sz w:val="24"/>
        </w:rPr>
        <w:t>收益品种，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22AD17C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对于在交易所市场上市交易的公开发行的可转换债券等有活跃市场的含转股权的债券，实行全价交易的债券按照估值日收盘价作为估值全价；实行净价交易的债券按照估值日收盘价并加计每百元税前应计利息作为估值全价；</w:t>
      </w:r>
    </w:p>
    <w:p w14:paraId="6576E54B"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color w:val="000000" w:themeColor="text1"/>
          <w:sz w:val="24"/>
        </w:rPr>
        <w:t>4</w:t>
      </w:r>
      <w:r w:rsidRPr="008958AB">
        <w:rPr>
          <w:rFonts w:ascii="宋体" w:hAnsi="宋体" w:cs="Arial" w:hint="eastAsia"/>
          <w:color w:val="000000" w:themeColor="text1"/>
          <w:sz w:val="24"/>
        </w:rPr>
        <w:t>）对于未上市或未挂牌转让且不存在活跃市场的固定收益品种，如无第三方估值基准服务机构提供的估值价格，则在当前情况下适用并且有足够可利用数据和其他信息支持的估值技术确定其公允价值。</w:t>
      </w:r>
    </w:p>
    <w:p w14:paraId="1D47559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（3）处于未上市期间的有价证券应区分如下情况处理：</w:t>
      </w:r>
    </w:p>
    <w:p w14:paraId="54AAAE6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1）送股、转增股、配股和公开增发的新股，按估值日在证券交易所挂牌的同一股票的估值方法估值；该日无交易的，以最近交易日的市价（收盘价）估值；</w:t>
      </w:r>
    </w:p>
    <w:p w14:paraId="32F0D878"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2）首次公开发行未上市的股票，采用估值技术确定公允价值。</w:t>
      </w:r>
    </w:p>
    <w:p w14:paraId="5CAD388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（4）流通受限股票的估值方法</w:t>
      </w:r>
    </w:p>
    <w:p w14:paraId="7C5E711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hint="eastAsia"/>
          <w:bCs/>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8958AB">
        <w:rPr>
          <w:rFonts w:hint="eastAsia"/>
          <w:bCs/>
          <w:color w:val="000000" w:themeColor="text1"/>
          <w:sz w:val="24"/>
        </w:rPr>
        <w:t>券</w:t>
      </w:r>
      <w:proofErr w:type="gramEnd"/>
      <w:r w:rsidRPr="008958AB">
        <w:rPr>
          <w:rFonts w:hint="eastAsia"/>
          <w:bCs/>
          <w:color w:val="000000" w:themeColor="text1"/>
          <w:sz w:val="24"/>
        </w:rPr>
        <w:t>等流通受限股票，按监管机构或行业协会有关规定确定公允价值。</w:t>
      </w:r>
    </w:p>
    <w:p w14:paraId="4E24E488"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（5）存款的估值方法</w:t>
      </w:r>
    </w:p>
    <w:p w14:paraId="78600E58" w14:textId="77777777" w:rsidR="00B438AF" w:rsidRPr="008958AB" w:rsidRDefault="006C47E3">
      <w:pPr>
        <w:adjustRightInd w:val="0"/>
        <w:snapToGrid w:val="0"/>
        <w:spacing w:line="360" w:lineRule="auto"/>
        <w:ind w:firstLineChars="200" w:firstLine="480"/>
        <w:rPr>
          <w:bCs/>
          <w:color w:val="000000" w:themeColor="text1"/>
          <w:sz w:val="24"/>
        </w:rPr>
      </w:pPr>
      <w:r w:rsidRPr="008958AB">
        <w:rPr>
          <w:rFonts w:hint="eastAsia"/>
          <w:bCs/>
          <w:color w:val="000000" w:themeColor="text1"/>
          <w:sz w:val="24"/>
        </w:rPr>
        <w:t>持有的银行定期存款或通知存款以本金列示，按协议或合同利率逐日确认利</w:t>
      </w:r>
      <w:r w:rsidRPr="008958AB">
        <w:rPr>
          <w:rFonts w:hint="eastAsia"/>
          <w:bCs/>
          <w:color w:val="000000" w:themeColor="text1"/>
          <w:sz w:val="24"/>
        </w:rPr>
        <w:lastRenderedPageBreak/>
        <w:t>息收入。</w:t>
      </w:r>
    </w:p>
    <w:p w14:paraId="1813371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（6）本基金投资股指期货合约、国债期货合约，以估值当日结算价进行估值，估值当日无结算价的，且最近交易日后经济环境未发生重大变化的，采用最近交易日结算价估值。</w:t>
      </w:r>
    </w:p>
    <w:p w14:paraId="343611C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本基金投资股票期权，根据相关法律法规以及监管部门的规定估值。</w:t>
      </w:r>
    </w:p>
    <w:p w14:paraId="1955BD2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（7）本基金投资存托凭证的估值核算，依照境内上市交易的股票执行。</w:t>
      </w:r>
    </w:p>
    <w:p w14:paraId="0945D57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（8）本基金参与融资业务的，按照相关法律法规、监管部门和行业协会的相关规定进行估值。</w:t>
      </w:r>
    </w:p>
    <w:p w14:paraId="571BD3DB" w14:textId="77777777" w:rsidR="00B438AF" w:rsidRPr="008958AB" w:rsidRDefault="006C47E3">
      <w:pPr>
        <w:adjustRightInd w:val="0"/>
        <w:snapToGrid w:val="0"/>
        <w:spacing w:line="360" w:lineRule="auto"/>
        <w:ind w:firstLineChars="200" w:firstLine="480"/>
        <w:rPr>
          <w:bCs/>
          <w:color w:val="000000" w:themeColor="text1"/>
          <w:sz w:val="24"/>
        </w:rPr>
      </w:pPr>
      <w:r w:rsidRPr="008958AB">
        <w:rPr>
          <w:bCs/>
          <w:color w:val="000000" w:themeColor="text1"/>
          <w:sz w:val="24"/>
        </w:rPr>
        <w:t>（</w:t>
      </w:r>
      <w:r w:rsidRPr="008958AB">
        <w:rPr>
          <w:rFonts w:hint="eastAsia"/>
          <w:bCs/>
          <w:color w:val="000000" w:themeColor="text1"/>
          <w:sz w:val="24"/>
        </w:rPr>
        <w:t>9</w:t>
      </w:r>
      <w:r w:rsidRPr="008958AB">
        <w:rPr>
          <w:rFonts w:hint="eastAsia"/>
          <w:bCs/>
          <w:color w:val="000000" w:themeColor="text1"/>
          <w:sz w:val="24"/>
        </w:rPr>
        <w:t>）估值计算中涉及港币对人民币汇率的，将依据下列信息提供机构所提供的汇率为基准：基金估值日中国人民银行或其授权机构公布的人民币与港币的中间价。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619B6248"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F073DC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（10）如有确凿证据表明按上述方法进行估值不能客观反映其公允价值的，基金管理人可根据具体情况与基金托管人商定后，按最能反映公允价值的价格估值。</w:t>
      </w:r>
    </w:p>
    <w:p w14:paraId="03D9F29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w:t>
      </w:r>
      <w:r w:rsidRPr="008958AB">
        <w:rPr>
          <w:rFonts w:ascii="宋体" w:hAnsi="宋体" w:cs="Arial"/>
          <w:color w:val="000000" w:themeColor="text1"/>
          <w:sz w:val="24"/>
        </w:rPr>
        <w:t>11</w:t>
      </w:r>
      <w:r w:rsidRPr="008958AB">
        <w:rPr>
          <w:rFonts w:ascii="宋体" w:hAnsi="宋体" w:cs="Arial" w:hint="eastAsia"/>
          <w:color w:val="000000" w:themeColor="text1"/>
          <w:sz w:val="24"/>
        </w:rPr>
        <w:t>）当本基金发生大额申购或赎回情形时，基金管理人可以采用摆动定价机制，以确保基金估值的公平性。具体处理原则与操作规范遵循相关法律法规以及监管部门、自律规则的规定。</w:t>
      </w:r>
    </w:p>
    <w:p w14:paraId="5B3BF83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w:t>
      </w:r>
      <w:r w:rsidRPr="008958AB">
        <w:rPr>
          <w:rFonts w:ascii="宋体" w:hAnsi="宋体" w:cs="Arial"/>
          <w:color w:val="000000" w:themeColor="text1"/>
          <w:sz w:val="24"/>
        </w:rPr>
        <w:t>12</w:t>
      </w:r>
      <w:r w:rsidRPr="008958AB">
        <w:rPr>
          <w:rFonts w:ascii="宋体" w:hAnsi="宋体" w:cs="Arial" w:hint="eastAsia"/>
          <w:color w:val="000000" w:themeColor="text1"/>
          <w:sz w:val="24"/>
        </w:rPr>
        <w:t>）相关法律法规以及监管部门有强制规定的，从其规定。如有新增事项，按国家最新规定估值。</w:t>
      </w:r>
    </w:p>
    <w:p w14:paraId="26AD8D9A"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B1E14F3" w14:textId="77777777" w:rsidR="00B438AF" w:rsidRPr="008958AB" w:rsidRDefault="006C47E3">
      <w:pPr>
        <w:adjustRightInd w:val="0"/>
        <w:snapToGrid w:val="0"/>
        <w:spacing w:line="360" w:lineRule="auto"/>
        <w:ind w:firstLine="480"/>
        <w:rPr>
          <w:rFonts w:ascii="宋体" w:hAnsi="宋体"/>
          <w:color w:val="000000" w:themeColor="text1"/>
          <w:sz w:val="24"/>
          <w:szCs w:val="21"/>
        </w:rPr>
      </w:pPr>
      <w:r w:rsidRPr="008958AB">
        <w:rPr>
          <w:rFonts w:ascii="宋体" w:hAnsi="宋体" w:cs="Arial" w:hint="eastAsia"/>
          <w:color w:val="000000" w:themeColor="text1"/>
          <w:sz w:val="24"/>
        </w:rPr>
        <w:t>根据有关法律法规，基金资产净值计算和基金会计核算的义务由基金管理人</w:t>
      </w:r>
      <w:r w:rsidRPr="008958AB">
        <w:rPr>
          <w:rFonts w:ascii="宋体" w:hAnsi="宋体" w:cs="Arial" w:hint="eastAsia"/>
          <w:color w:val="000000" w:themeColor="text1"/>
          <w:sz w:val="24"/>
        </w:rPr>
        <w:lastRenderedPageBreak/>
        <w:t>承担。本基金的基金会计责任方由基金管理人担任，因此，就与本基金有关的会计问题，如经相关各方在平等基础上充分讨论后，仍无法达成一致的意见，</w:t>
      </w:r>
      <w:r w:rsidRPr="008958AB">
        <w:rPr>
          <w:rFonts w:hint="eastAsia"/>
          <w:bCs/>
          <w:color w:val="000000" w:themeColor="text1"/>
          <w:sz w:val="24"/>
        </w:rPr>
        <w:t>基金管理人向基金托管人出具盖章的书面说明后，</w:t>
      </w:r>
      <w:r w:rsidRPr="008958AB">
        <w:rPr>
          <w:rFonts w:ascii="宋体" w:hAnsi="宋体" w:cs="Arial" w:hint="eastAsia"/>
          <w:color w:val="000000" w:themeColor="text1"/>
          <w:sz w:val="24"/>
        </w:rPr>
        <w:t>按照基金管理人对基金净值的计算结果对外予以公布</w:t>
      </w:r>
      <w:r w:rsidRPr="008958AB">
        <w:rPr>
          <w:rFonts w:ascii="宋体" w:hAnsi="宋体" w:hint="eastAsia"/>
          <w:color w:val="000000" w:themeColor="text1"/>
          <w:sz w:val="24"/>
          <w:szCs w:val="21"/>
        </w:rPr>
        <w:t>。</w:t>
      </w:r>
    </w:p>
    <w:p w14:paraId="7C169D78" w14:textId="77777777" w:rsidR="00B438AF" w:rsidRPr="008958AB" w:rsidRDefault="006C47E3">
      <w:pPr>
        <w:adjustRightInd w:val="0"/>
        <w:snapToGrid w:val="0"/>
        <w:spacing w:line="360" w:lineRule="auto"/>
        <w:ind w:firstLine="480"/>
        <w:rPr>
          <w:rStyle w:val="read"/>
          <w:rFonts w:ascii="宋体" w:hAnsi="宋体" w:cs="Arial"/>
          <w:color w:val="000000" w:themeColor="text1"/>
          <w:sz w:val="24"/>
        </w:rPr>
      </w:pPr>
      <w:r w:rsidRPr="008958AB">
        <w:rPr>
          <w:rStyle w:val="read"/>
          <w:rFonts w:ascii="宋体" w:hAnsi="宋体" w:cs="Arial" w:hint="eastAsia"/>
          <w:color w:val="000000" w:themeColor="text1"/>
          <w:sz w:val="24"/>
        </w:rPr>
        <w:t>3.特殊情形的处理</w:t>
      </w:r>
    </w:p>
    <w:p w14:paraId="0AA3F3B7"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cs="Arial" w:hint="eastAsia"/>
          <w:color w:val="000000" w:themeColor="text1"/>
          <w:sz w:val="24"/>
        </w:rPr>
        <w:t>基金管理人</w:t>
      </w:r>
      <w:r w:rsidRPr="008958AB">
        <w:rPr>
          <w:rStyle w:val="read"/>
          <w:rFonts w:ascii="宋体" w:hAnsi="宋体" w:cs="Arial"/>
          <w:color w:val="000000" w:themeColor="text1"/>
          <w:sz w:val="24"/>
        </w:rPr>
        <w:t>、</w:t>
      </w:r>
      <w:r w:rsidRPr="008958AB">
        <w:rPr>
          <w:rStyle w:val="read"/>
          <w:rFonts w:ascii="宋体" w:hAnsi="宋体" w:cs="Arial" w:hint="eastAsia"/>
          <w:color w:val="000000" w:themeColor="text1"/>
          <w:sz w:val="24"/>
        </w:rPr>
        <w:t>基金托管人按估值方法的第(1</w:t>
      </w:r>
      <w:r w:rsidRPr="008958AB">
        <w:rPr>
          <w:rStyle w:val="read"/>
          <w:rFonts w:ascii="宋体" w:hAnsi="宋体" w:cs="Arial"/>
          <w:color w:val="000000" w:themeColor="text1"/>
          <w:sz w:val="24"/>
        </w:rPr>
        <w:t>0</w:t>
      </w:r>
      <w:r w:rsidRPr="008958AB">
        <w:rPr>
          <w:rStyle w:val="read"/>
          <w:rFonts w:ascii="宋体" w:hAnsi="宋体" w:cs="Arial" w:hint="eastAsia"/>
          <w:color w:val="000000" w:themeColor="text1"/>
          <w:sz w:val="24"/>
        </w:rPr>
        <w:t>)项进行估值时，所造成的误差不作为基金资产估值</w:t>
      </w:r>
      <w:r w:rsidRPr="008958AB">
        <w:rPr>
          <w:rStyle w:val="read"/>
          <w:rFonts w:ascii="宋体" w:hAnsi="宋体" w:hint="eastAsia"/>
          <w:color w:val="000000" w:themeColor="text1"/>
          <w:sz w:val="24"/>
        </w:rPr>
        <w:t>错误处理。</w:t>
      </w:r>
    </w:p>
    <w:p w14:paraId="4EC97558"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hint="eastAsia"/>
          <w:color w:val="000000" w:themeColor="text1"/>
          <w:sz w:val="24"/>
        </w:rPr>
        <w:t>（三）基金份额净值错误的处理方式</w:t>
      </w:r>
    </w:p>
    <w:p w14:paraId="21A77DD9"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color w:val="000000" w:themeColor="text1"/>
          <w:sz w:val="24"/>
        </w:rPr>
        <w:t>1</w:t>
      </w:r>
      <w:r w:rsidRPr="008958AB">
        <w:rPr>
          <w:rFonts w:ascii="宋体" w:hAnsi="宋体" w:cs="Arial" w:hint="eastAsia"/>
          <w:color w:val="000000" w:themeColor="text1"/>
          <w:sz w:val="24"/>
        </w:rPr>
        <w:t>.</w:t>
      </w:r>
      <w:r w:rsidRPr="008958AB">
        <w:rPr>
          <w:rStyle w:val="read"/>
          <w:rFonts w:ascii="宋体" w:hAnsi="宋体" w:hint="eastAsia"/>
          <w:color w:val="000000" w:themeColor="text1"/>
          <w:sz w:val="24"/>
        </w:rPr>
        <w:t>基金份额净值估值错误处理的方法如下：</w:t>
      </w:r>
    </w:p>
    <w:p w14:paraId="3193AF3F"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hint="eastAsia"/>
          <w:color w:val="000000" w:themeColor="text1"/>
          <w:sz w:val="24"/>
        </w:rPr>
        <w:t>（1）当某一类基金份额净值小数点后4位以内(含第4位)发生差错时，视为该类基金份额净值错误；基金份额净值计算出现错误时，基金管理人应当立即予以纠正，通报基金托管人，并采取合理的措施防止损失进一步扩大。</w:t>
      </w:r>
    </w:p>
    <w:p w14:paraId="09B6CD52"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hint="eastAsia"/>
          <w:color w:val="000000" w:themeColor="text1"/>
          <w:sz w:val="24"/>
        </w:rPr>
        <w:t>（2）错误偏差达到该类别基金份额净值的0.25%时，基金管理人应当通报基金托管人并报中国证监会备案；错误偏差达到该类别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44EF7691"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hint="eastAsia"/>
          <w:color w:val="000000" w:themeColor="text1"/>
          <w:sz w:val="24"/>
        </w:rPr>
        <w:t>2.当基金份额净值计算差错给基金和基金份额持有人造成损失需要进行赔偿时，基金管理人和基金托管人根据实际情况界定双方承担的责任，经确认后按以下条款进行赔偿：</w:t>
      </w:r>
    </w:p>
    <w:p w14:paraId="31A45FDC"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hint="eastAsia"/>
          <w:color w:val="000000" w:themeColor="text1"/>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9FE43D5"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hint="eastAsia"/>
          <w:color w:val="000000" w:themeColor="text1"/>
          <w:sz w:val="24"/>
        </w:rPr>
        <w:t>(2)</w:t>
      </w:r>
      <w:proofErr w:type="gramStart"/>
      <w:r w:rsidRPr="008958AB">
        <w:rPr>
          <w:rStyle w:val="read"/>
          <w:rFonts w:ascii="宋体" w:hAnsi="宋体" w:hint="eastAsia"/>
          <w:color w:val="000000" w:themeColor="text1"/>
          <w:sz w:val="24"/>
        </w:rPr>
        <w:t>若基金</w:t>
      </w:r>
      <w:proofErr w:type="gramEnd"/>
      <w:r w:rsidRPr="008958AB">
        <w:rPr>
          <w:rStyle w:val="read"/>
          <w:rFonts w:ascii="宋体" w:hAnsi="宋体" w:hint="eastAsia"/>
          <w:color w:val="000000" w:themeColor="text1"/>
          <w:sz w:val="24"/>
        </w:rPr>
        <w:t>管理人计算的各类别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A7CEBBC"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hint="eastAsia"/>
          <w:color w:val="000000" w:themeColor="text1"/>
          <w:sz w:val="24"/>
        </w:rPr>
        <w:t>(3）如基金管理人和基金托管人对各类别基金份额净值的计算结果，虽然多次重新计算和核对，尚不能达成一致时，为避免不能按时公布各类别基金份额净值的</w:t>
      </w:r>
      <w:r w:rsidRPr="008958AB">
        <w:rPr>
          <w:rStyle w:val="read"/>
          <w:rFonts w:ascii="宋体" w:hAnsi="宋体" w:hint="eastAsia"/>
          <w:color w:val="000000" w:themeColor="text1"/>
          <w:sz w:val="24"/>
        </w:rPr>
        <w:lastRenderedPageBreak/>
        <w:t>情形，以基金管理人的计算结果对外公布，由此给基金份额持有人和基金造成的损失，由基金管理人负责赔付。</w:t>
      </w:r>
    </w:p>
    <w:p w14:paraId="256C95B1"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hint="eastAsia"/>
          <w:color w:val="000000" w:themeColor="text1"/>
          <w:sz w:val="24"/>
        </w:rPr>
        <w:t>(4)由于基金管理人提供的信息错误（包括但不限于基金申购或赎回金额等），进而导致基金份额净值计算错误而引起的基金份额持有人和基金财产的损失，由基金管理人负责赔付。</w:t>
      </w:r>
    </w:p>
    <w:p w14:paraId="51B76DA8"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hint="eastAsia"/>
          <w:color w:val="000000" w:themeColor="text1"/>
          <w:sz w:val="24"/>
        </w:rPr>
        <w:t>3.</w:t>
      </w:r>
      <w:r w:rsidRPr="008958AB">
        <w:rPr>
          <w:rFonts w:hint="eastAsia"/>
          <w:bCs/>
          <w:color w:val="000000" w:themeColor="text1"/>
          <w:sz w:val="24"/>
        </w:rPr>
        <w:t>由于不可抗力原因，或由于证券</w:t>
      </w:r>
      <w:r w:rsidRPr="008958AB">
        <w:rPr>
          <w:rFonts w:hint="eastAsia"/>
          <w:bCs/>
          <w:color w:val="000000" w:themeColor="text1"/>
          <w:sz w:val="24"/>
        </w:rPr>
        <w:t>/</w:t>
      </w:r>
      <w:r w:rsidRPr="008958AB">
        <w:rPr>
          <w:rFonts w:hint="eastAsia"/>
          <w:bCs/>
          <w:color w:val="000000" w:themeColor="text1"/>
          <w:sz w:val="24"/>
        </w:rPr>
        <w:t>期货交易所、证券</w:t>
      </w:r>
      <w:r w:rsidRPr="008958AB">
        <w:rPr>
          <w:rFonts w:hint="eastAsia"/>
          <w:bCs/>
          <w:color w:val="000000" w:themeColor="text1"/>
          <w:sz w:val="24"/>
        </w:rPr>
        <w:t>/</w:t>
      </w:r>
      <w:r w:rsidRPr="008958AB">
        <w:rPr>
          <w:rFonts w:hint="eastAsia"/>
          <w:bCs/>
          <w:color w:val="000000" w:themeColor="text1"/>
          <w:sz w:val="24"/>
        </w:rPr>
        <w:t>期货经纪机构、登记机构及存款银行或第三方估值基准服务机构发送的数据错误、遗漏，或国家会计政策变更、市场规则变更等</w:t>
      </w:r>
      <w:proofErr w:type="gramStart"/>
      <w:r w:rsidRPr="008958AB">
        <w:rPr>
          <w:rFonts w:hint="eastAsia"/>
          <w:bCs/>
          <w:color w:val="000000" w:themeColor="text1"/>
          <w:sz w:val="24"/>
        </w:rPr>
        <w:t>非基金</w:t>
      </w:r>
      <w:proofErr w:type="gramEnd"/>
      <w:r w:rsidRPr="008958AB">
        <w:rPr>
          <w:rFonts w:hint="eastAsia"/>
          <w:bCs/>
          <w:color w:val="000000" w:themeColor="text1"/>
          <w:sz w:val="24"/>
        </w:rPr>
        <w:t>管理人与基金托管人原因，基金管理人和基金托管人虽然已经采取必要、适当、合理的措施进行检查，但未能发现错误或因前述原因未能避免或更正错误的，由此造成的基金资产估值错误，基金管理人和基金托管人免除赔偿责任，但基金管理人、基金托管人应当积极采取必要的措施消除或减轻由此造成的影响。</w:t>
      </w:r>
    </w:p>
    <w:p w14:paraId="04F6B561" w14:textId="77777777" w:rsidR="00B438AF" w:rsidRPr="008958AB" w:rsidRDefault="006C47E3">
      <w:pPr>
        <w:adjustRightInd w:val="0"/>
        <w:snapToGrid w:val="0"/>
        <w:spacing w:line="360" w:lineRule="auto"/>
        <w:ind w:firstLineChars="200" w:firstLine="480"/>
        <w:rPr>
          <w:rStyle w:val="read"/>
          <w:rFonts w:ascii="宋体" w:hAnsi="宋体"/>
          <w:color w:val="000000" w:themeColor="text1"/>
          <w:sz w:val="24"/>
        </w:rPr>
      </w:pPr>
      <w:r w:rsidRPr="008958AB">
        <w:rPr>
          <w:rStyle w:val="read"/>
          <w:rFonts w:ascii="宋体" w:hAnsi="宋体" w:hint="eastAsia"/>
          <w:color w:val="000000" w:themeColor="text1"/>
          <w:sz w:val="24"/>
        </w:rPr>
        <w:t>4.基金管理人和基金托管人由于各自技术系统设置而产生的净值计算尾差，以基金管理人计算结果为准。</w:t>
      </w:r>
    </w:p>
    <w:p w14:paraId="0798FA92" w14:textId="77777777" w:rsidR="00B438AF" w:rsidRPr="008958AB" w:rsidRDefault="006C47E3">
      <w:pPr>
        <w:adjustRightInd w:val="0"/>
        <w:snapToGrid w:val="0"/>
        <w:spacing w:line="360" w:lineRule="auto"/>
        <w:ind w:firstLine="480"/>
        <w:rPr>
          <w:rStyle w:val="read"/>
          <w:rFonts w:ascii="宋体" w:hAnsi="宋体"/>
          <w:color w:val="000000" w:themeColor="text1"/>
          <w:sz w:val="24"/>
        </w:rPr>
      </w:pPr>
      <w:r w:rsidRPr="008958AB">
        <w:rPr>
          <w:rStyle w:val="read"/>
          <w:rFonts w:ascii="宋体" w:hAnsi="宋体" w:hint="eastAsia"/>
          <w:color w:val="000000" w:themeColor="text1"/>
          <w:sz w:val="24"/>
        </w:rPr>
        <w:t>5.前述内容如法律法规或监管机关另有规定的，从其规定处理。如果行业有通行做法，在不违背法律法规且不损害投资者利益的前提下，基金管理人与基金托管人应本着平等和保护基金份额持有人利益的原则重新协商确定处理原则。</w:t>
      </w:r>
    </w:p>
    <w:p w14:paraId="12D16C96"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（四）暂停估值的情形</w:t>
      </w:r>
    </w:p>
    <w:p w14:paraId="073F7D27"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w:t>
      </w:r>
      <w:r w:rsidRPr="008958AB">
        <w:rPr>
          <w:rFonts w:hint="eastAsia"/>
          <w:bCs/>
          <w:color w:val="000000" w:themeColor="text1"/>
          <w:sz w:val="24"/>
        </w:rPr>
        <w:t>基金投资所涉及的证券</w:t>
      </w:r>
      <w:r w:rsidRPr="008958AB">
        <w:rPr>
          <w:rFonts w:hint="eastAsia"/>
          <w:bCs/>
          <w:color w:val="000000" w:themeColor="text1"/>
          <w:sz w:val="24"/>
        </w:rPr>
        <w:t>/</w:t>
      </w:r>
      <w:r w:rsidRPr="008958AB">
        <w:rPr>
          <w:rFonts w:hint="eastAsia"/>
          <w:bCs/>
          <w:color w:val="000000" w:themeColor="text1"/>
          <w:sz w:val="24"/>
        </w:rPr>
        <w:t>期货交易市场或外汇市场遇法定节假日或基金参与港股</w:t>
      </w:r>
      <w:proofErr w:type="gramStart"/>
      <w:r w:rsidRPr="008958AB">
        <w:rPr>
          <w:rFonts w:hint="eastAsia"/>
          <w:bCs/>
          <w:color w:val="000000" w:themeColor="text1"/>
          <w:sz w:val="24"/>
        </w:rPr>
        <w:t>通交易且港股通临时</w:t>
      </w:r>
      <w:proofErr w:type="gramEnd"/>
      <w:r w:rsidRPr="008958AB">
        <w:rPr>
          <w:rFonts w:hint="eastAsia"/>
          <w:bCs/>
          <w:color w:val="000000" w:themeColor="text1"/>
          <w:sz w:val="24"/>
        </w:rPr>
        <w:t>停市或因其他原因暂停营业时</w:t>
      </w:r>
      <w:r w:rsidRPr="008958AB">
        <w:rPr>
          <w:rFonts w:ascii="宋体" w:hAnsi="宋体" w:cs="Arial" w:hint="eastAsia"/>
          <w:color w:val="000000" w:themeColor="text1"/>
          <w:sz w:val="24"/>
        </w:rPr>
        <w:t>；</w:t>
      </w:r>
    </w:p>
    <w:p w14:paraId="29B0FFA9"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w:t>
      </w:r>
      <w:r w:rsidRPr="008958AB">
        <w:rPr>
          <w:rFonts w:hint="eastAsia"/>
          <w:bCs/>
          <w:color w:val="000000" w:themeColor="text1"/>
          <w:sz w:val="24"/>
        </w:rPr>
        <w:t>因不可抗力或其他情形致使基金管理人、基金托管人无法准确评估基金资产价值时</w:t>
      </w:r>
      <w:r w:rsidRPr="008958AB">
        <w:rPr>
          <w:rFonts w:ascii="宋体" w:hAnsi="宋体" w:cs="Arial" w:hint="eastAsia"/>
          <w:color w:val="000000" w:themeColor="text1"/>
          <w:sz w:val="24"/>
        </w:rPr>
        <w:t>；</w:t>
      </w:r>
    </w:p>
    <w:p w14:paraId="064CBC9B"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3.</w:t>
      </w:r>
      <w:r w:rsidRPr="008958AB">
        <w:rPr>
          <w:rFonts w:hint="eastAsia"/>
          <w:bCs/>
          <w:color w:val="000000" w:themeColor="text1"/>
          <w:sz w:val="24"/>
        </w:rPr>
        <w:t>当特定资产占前一估值日基金资产净值</w:t>
      </w:r>
      <w:r w:rsidRPr="008958AB">
        <w:rPr>
          <w:rFonts w:hint="eastAsia"/>
          <w:bCs/>
          <w:color w:val="000000" w:themeColor="text1"/>
          <w:sz w:val="24"/>
        </w:rPr>
        <w:t>50%</w:t>
      </w:r>
      <w:r w:rsidRPr="008958AB">
        <w:rPr>
          <w:rFonts w:hint="eastAsia"/>
          <w:bCs/>
          <w:color w:val="000000" w:themeColor="text1"/>
          <w:sz w:val="24"/>
        </w:rPr>
        <w:t>以上的，经与基金托管人协商确认后，基金管理人应当暂停估值</w:t>
      </w:r>
      <w:r w:rsidRPr="008958AB">
        <w:rPr>
          <w:rFonts w:ascii="宋体" w:hAnsi="宋体" w:cs="Arial" w:hint="eastAsia"/>
          <w:color w:val="000000" w:themeColor="text1"/>
          <w:sz w:val="24"/>
        </w:rPr>
        <w:t>；</w:t>
      </w:r>
    </w:p>
    <w:p w14:paraId="48EC415A"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4.法律法规规定、中国证监会和《基金合同》认定的其它情形。</w:t>
      </w:r>
    </w:p>
    <w:p w14:paraId="2A93F8A2"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（五）实施</w:t>
      </w:r>
      <w:proofErr w:type="gramStart"/>
      <w:r w:rsidRPr="008958AB">
        <w:rPr>
          <w:rFonts w:ascii="宋体" w:hAnsi="宋体" w:cs="Arial" w:hint="eastAsia"/>
          <w:color w:val="000000" w:themeColor="text1"/>
          <w:sz w:val="24"/>
        </w:rPr>
        <w:t>侧袋机制</w:t>
      </w:r>
      <w:proofErr w:type="gramEnd"/>
      <w:r w:rsidRPr="008958AB">
        <w:rPr>
          <w:rFonts w:ascii="宋体" w:hAnsi="宋体" w:cs="Arial" w:hint="eastAsia"/>
          <w:color w:val="000000" w:themeColor="text1"/>
          <w:sz w:val="24"/>
        </w:rPr>
        <w:t>期间的基金资产估值</w:t>
      </w:r>
    </w:p>
    <w:p w14:paraId="09B617A7"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本基金实施</w:t>
      </w:r>
      <w:proofErr w:type="gramStart"/>
      <w:r w:rsidRPr="008958AB">
        <w:rPr>
          <w:rFonts w:ascii="宋体" w:hAnsi="宋体" w:cs="Arial" w:hint="eastAsia"/>
          <w:color w:val="000000" w:themeColor="text1"/>
          <w:sz w:val="24"/>
        </w:rPr>
        <w:t>侧袋机制</w:t>
      </w:r>
      <w:proofErr w:type="gramEnd"/>
      <w:r w:rsidRPr="008958AB">
        <w:rPr>
          <w:rFonts w:ascii="宋体" w:hAnsi="宋体" w:cs="Arial" w:hint="eastAsia"/>
          <w:color w:val="000000" w:themeColor="text1"/>
          <w:sz w:val="24"/>
        </w:rPr>
        <w:t>的，应根据本部分的约定</w:t>
      </w:r>
      <w:proofErr w:type="gramStart"/>
      <w:r w:rsidRPr="008958AB">
        <w:rPr>
          <w:rFonts w:ascii="宋体" w:hAnsi="宋体" w:cs="Arial" w:hint="eastAsia"/>
          <w:color w:val="000000" w:themeColor="text1"/>
          <w:sz w:val="24"/>
        </w:rPr>
        <w:t>对主袋账户</w:t>
      </w:r>
      <w:proofErr w:type="gramEnd"/>
      <w:r w:rsidRPr="008958AB">
        <w:rPr>
          <w:rFonts w:ascii="宋体" w:hAnsi="宋体" w:cs="Arial" w:hint="eastAsia"/>
          <w:color w:val="000000" w:themeColor="text1"/>
          <w:sz w:val="24"/>
        </w:rPr>
        <w:t>资产进行估值并</w:t>
      </w:r>
      <w:proofErr w:type="gramStart"/>
      <w:r w:rsidRPr="008958AB">
        <w:rPr>
          <w:rFonts w:ascii="宋体" w:hAnsi="宋体" w:cs="Arial" w:hint="eastAsia"/>
          <w:color w:val="000000" w:themeColor="text1"/>
          <w:sz w:val="24"/>
        </w:rPr>
        <w:t>披露主袋账户</w:t>
      </w:r>
      <w:proofErr w:type="gramEnd"/>
      <w:r w:rsidRPr="008958AB">
        <w:rPr>
          <w:rFonts w:ascii="宋体" w:hAnsi="宋体" w:cs="Arial" w:hint="eastAsia"/>
          <w:color w:val="000000" w:themeColor="text1"/>
          <w:sz w:val="24"/>
        </w:rPr>
        <w:t>的基金净值信息，暂停</w:t>
      </w:r>
      <w:proofErr w:type="gramStart"/>
      <w:r w:rsidRPr="008958AB">
        <w:rPr>
          <w:rFonts w:ascii="宋体" w:hAnsi="宋体" w:cs="Arial" w:hint="eastAsia"/>
          <w:color w:val="000000" w:themeColor="text1"/>
          <w:sz w:val="24"/>
        </w:rPr>
        <w:t>披露侧袋账户</w:t>
      </w:r>
      <w:proofErr w:type="gramEnd"/>
      <w:r w:rsidRPr="008958AB">
        <w:rPr>
          <w:rFonts w:ascii="宋体" w:hAnsi="宋体" w:cs="Arial" w:hint="eastAsia"/>
          <w:color w:val="000000" w:themeColor="text1"/>
          <w:sz w:val="24"/>
        </w:rPr>
        <w:t>份额净值。</w:t>
      </w:r>
    </w:p>
    <w:p w14:paraId="29B60902"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（六）基金会计制度</w:t>
      </w:r>
    </w:p>
    <w:p w14:paraId="47845310"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按国家有关部门规定的会计制度执行。</w:t>
      </w:r>
    </w:p>
    <w:p w14:paraId="3A7375A3"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lastRenderedPageBreak/>
        <w:t>（七）基金账册的建立</w:t>
      </w:r>
    </w:p>
    <w:p w14:paraId="7A74CC7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基金管理人进行基金会计核算并编制基金财务会计报告。基金管理人、基金托管人分别独立地设置、记录和保管本基金的全套账册。</w:t>
      </w:r>
      <w:proofErr w:type="gramStart"/>
      <w:r w:rsidRPr="008958AB">
        <w:rPr>
          <w:rFonts w:ascii="宋体" w:hAnsi="宋体" w:cs="Arial" w:hint="eastAsia"/>
          <w:color w:val="000000" w:themeColor="text1"/>
          <w:sz w:val="24"/>
        </w:rPr>
        <w:t>若基金</w:t>
      </w:r>
      <w:proofErr w:type="gramEnd"/>
      <w:r w:rsidRPr="008958AB">
        <w:rPr>
          <w:rFonts w:ascii="宋体" w:hAnsi="宋体" w:cs="Arial" w:hint="eastAsia"/>
          <w:color w:val="000000" w:themeColor="text1"/>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6DD52B20" w14:textId="77777777" w:rsidR="00B438AF" w:rsidRPr="008958AB" w:rsidRDefault="006C47E3">
      <w:pPr>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（八）基金财务报表与报告的编制和复核</w:t>
      </w:r>
    </w:p>
    <w:p w14:paraId="25E45D7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1.财务报表的编制</w:t>
      </w:r>
    </w:p>
    <w:p w14:paraId="44E36FC8"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基金财务报表由基金管理人编制，基金托管人复核。</w:t>
      </w:r>
    </w:p>
    <w:p w14:paraId="644430A8"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2.报表复核</w:t>
      </w:r>
    </w:p>
    <w:p w14:paraId="270B978A"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基金托管人在收到基金管理人编制的基金财务报表后，进行独立的复核。核对不符时，应及时通知基金管理人共同查出原因，进行调整，直至双方数据完全一致。</w:t>
      </w:r>
    </w:p>
    <w:p w14:paraId="02C1624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3.财务报表的编制与复核时间安排</w:t>
      </w:r>
    </w:p>
    <w:p w14:paraId="4FE4DD4B"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(1)报表的编制</w:t>
      </w:r>
    </w:p>
    <w:p w14:paraId="1A0A5E5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管理人应当在每月结束后5个工作日内完成月度报表的编制；在每个季度结束之日起15个工作日内完成基金季度报告的编制；在上半年结束之日起2个月内完成基金中期报告的编制；在每年结束之日起3个月内完成基金年度报告的编制。基金年度报告的财务会计报告应当经过符合《中华人民共和国</w:t>
      </w:r>
      <w:hyperlink r:id="rId8" w:tgtFrame="_blank" w:history="1">
        <w:r w:rsidRPr="008958AB">
          <w:rPr>
            <w:rFonts w:hint="eastAsia"/>
            <w:color w:val="000000" w:themeColor="text1"/>
            <w:sz w:val="24"/>
          </w:rPr>
          <w:t>证券法</w:t>
        </w:r>
      </w:hyperlink>
      <w:r w:rsidRPr="008958AB">
        <w:rPr>
          <w:rFonts w:ascii="宋体" w:hAnsi="宋体" w:cs="Arial" w:hint="eastAsia"/>
          <w:color w:val="000000" w:themeColor="text1"/>
          <w:sz w:val="24"/>
        </w:rPr>
        <w:t>》规定的会计师事务所审计。《基金合同》生效不足两个月的，基金管理人可以不编制当期季度报告、中期报告或者年度报告。</w:t>
      </w:r>
    </w:p>
    <w:p w14:paraId="1AD2F7A5"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(2)报表的复核</w:t>
      </w:r>
    </w:p>
    <w:p w14:paraId="2A7330F6"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02A13CD"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基金管理人应留足充分的时间，便于基金托管人复核相关报表及报告。如果基金管理人与基金托管人不能</w:t>
      </w:r>
      <w:proofErr w:type="gramStart"/>
      <w:r w:rsidRPr="008958AB">
        <w:rPr>
          <w:rFonts w:ascii="宋体" w:hAnsi="宋体" w:cs="Arial" w:hint="eastAsia"/>
          <w:color w:val="000000" w:themeColor="text1"/>
          <w:sz w:val="24"/>
        </w:rPr>
        <w:t>于应当</w:t>
      </w:r>
      <w:proofErr w:type="gramEnd"/>
      <w:r w:rsidRPr="008958AB">
        <w:rPr>
          <w:rFonts w:ascii="宋体" w:hAnsi="宋体" w:cs="Arial" w:hint="eastAsia"/>
          <w:color w:val="000000" w:themeColor="text1"/>
          <w:sz w:val="24"/>
        </w:rPr>
        <w:t>发布公告之日之前就相关报表达成一致，基金管理人按照其编制的报表对外发布公告，基金托管人有权就相关情况报中国证监会备案。</w:t>
      </w:r>
    </w:p>
    <w:p w14:paraId="09466F6D"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（九）基金管理人应在编制季度报告、中期报告或者年度报告之前及时向基金托管人提供基金业绩比较基准的基础数据和编制结果。</w:t>
      </w:r>
    </w:p>
    <w:p w14:paraId="6E2D54CE" w14:textId="77777777" w:rsidR="00B438AF" w:rsidRPr="008958AB" w:rsidRDefault="00B438AF">
      <w:pPr>
        <w:pStyle w:val="a0"/>
        <w:adjustRightInd w:val="0"/>
        <w:snapToGrid w:val="0"/>
        <w:spacing w:line="360" w:lineRule="auto"/>
        <w:ind w:firstLineChars="0" w:firstLine="0"/>
        <w:rPr>
          <w:rFonts w:ascii="宋体" w:hAnsi="宋体" w:cs="Arial"/>
          <w:color w:val="000000" w:themeColor="text1"/>
          <w:sz w:val="24"/>
        </w:rPr>
      </w:pPr>
    </w:p>
    <w:p w14:paraId="5C1B431E" w14:textId="77777777" w:rsidR="00B438AF" w:rsidRPr="008958AB" w:rsidRDefault="006C47E3">
      <w:pPr>
        <w:pStyle w:val="2"/>
        <w:spacing w:line="360" w:lineRule="auto"/>
        <w:jc w:val="center"/>
        <w:rPr>
          <w:rFonts w:ascii="宋体" w:eastAsia="宋体" w:hAnsi="宋体"/>
          <w:color w:val="000000" w:themeColor="text1"/>
          <w:sz w:val="30"/>
        </w:rPr>
      </w:pPr>
      <w:bookmarkStart w:id="86" w:name="_Toc124325893"/>
      <w:r w:rsidRPr="008958AB">
        <w:rPr>
          <w:rFonts w:ascii="宋体" w:eastAsia="宋体" w:hAnsi="宋体" w:hint="eastAsia"/>
          <w:color w:val="000000" w:themeColor="text1"/>
          <w:sz w:val="30"/>
        </w:rPr>
        <w:t>九、基金收益分配</w:t>
      </w:r>
      <w:bookmarkEnd w:id="86"/>
    </w:p>
    <w:p w14:paraId="1CEABF7A"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基金收益分配是指按规定将基金的可分配收益按基金份额进行比例分配。</w:t>
      </w:r>
    </w:p>
    <w:p w14:paraId="74C05C2C"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（一）基金收益分配的原则</w:t>
      </w:r>
    </w:p>
    <w:p w14:paraId="129CEE50" w14:textId="77777777" w:rsidR="00B438AF" w:rsidRPr="008958AB" w:rsidRDefault="006C47E3">
      <w:pPr>
        <w:spacing w:line="360" w:lineRule="auto"/>
        <w:ind w:firstLineChars="225" w:firstLine="540"/>
        <w:rPr>
          <w:bCs/>
          <w:color w:val="000000" w:themeColor="text1"/>
          <w:sz w:val="24"/>
        </w:rPr>
      </w:pPr>
      <w:r w:rsidRPr="008958AB">
        <w:rPr>
          <w:rFonts w:hint="eastAsia"/>
          <w:bCs/>
          <w:color w:val="000000" w:themeColor="text1"/>
          <w:sz w:val="24"/>
        </w:rPr>
        <w:t>1</w:t>
      </w:r>
      <w:r w:rsidRPr="008958AB">
        <w:rPr>
          <w:rFonts w:ascii="宋体" w:hAnsi="宋体" w:cs="Arial" w:hint="eastAsia"/>
          <w:color w:val="000000" w:themeColor="text1"/>
          <w:sz w:val="24"/>
        </w:rPr>
        <w:t>.</w:t>
      </w:r>
      <w:r w:rsidRPr="008958AB">
        <w:rPr>
          <w:rFonts w:hint="eastAsia"/>
          <w:bCs/>
          <w:color w:val="000000" w:themeColor="text1"/>
          <w:sz w:val="24"/>
        </w:rPr>
        <w:t>由于本基金</w:t>
      </w:r>
      <w:r w:rsidRPr="008958AB">
        <w:rPr>
          <w:rFonts w:hint="eastAsia"/>
          <w:bCs/>
          <w:color w:val="000000" w:themeColor="text1"/>
          <w:sz w:val="24"/>
        </w:rPr>
        <w:t>A</w:t>
      </w:r>
      <w:r w:rsidRPr="008958AB">
        <w:rPr>
          <w:rFonts w:hint="eastAsia"/>
          <w:bCs/>
          <w:color w:val="000000" w:themeColor="text1"/>
          <w:sz w:val="24"/>
        </w:rPr>
        <w:t>类基金份额不收取销售服务费，而</w:t>
      </w:r>
      <w:r w:rsidRPr="008958AB">
        <w:rPr>
          <w:rFonts w:hint="eastAsia"/>
          <w:bCs/>
          <w:color w:val="000000" w:themeColor="text1"/>
          <w:sz w:val="24"/>
        </w:rPr>
        <w:t>C</w:t>
      </w:r>
      <w:r w:rsidRPr="008958AB">
        <w:rPr>
          <w:rFonts w:hint="eastAsia"/>
          <w:bCs/>
          <w:color w:val="000000" w:themeColor="text1"/>
          <w:sz w:val="24"/>
        </w:rPr>
        <w:t>类基金份额收取销售服务费，各类别基金份额对应的可供分配利润将有所不同；</w:t>
      </w:r>
    </w:p>
    <w:p w14:paraId="296F1CF3" w14:textId="77777777" w:rsidR="00B438AF" w:rsidRPr="008958AB" w:rsidRDefault="006C47E3">
      <w:pPr>
        <w:spacing w:line="360" w:lineRule="auto"/>
        <w:ind w:firstLineChars="225" w:firstLine="540"/>
        <w:rPr>
          <w:bCs/>
          <w:color w:val="000000" w:themeColor="text1"/>
          <w:sz w:val="24"/>
        </w:rPr>
      </w:pPr>
      <w:r w:rsidRPr="008958AB">
        <w:rPr>
          <w:rFonts w:hint="eastAsia"/>
          <w:bCs/>
          <w:color w:val="000000" w:themeColor="text1"/>
          <w:sz w:val="24"/>
        </w:rPr>
        <w:t>2</w:t>
      </w:r>
      <w:r w:rsidRPr="008958AB">
        <w:rPr>
          <w:rFonts w:ascii="宋体" w:hAnsi="宋体" w:cs="Arial" w:hint="eastAsia"/>
          <w:color w:val="000000" w:themeColor="text1"/>
          <w:sz w:val="24"/>
        </w:rPr>
        <w:t>.</w:t>
      </w:r>
      <w:r w:rsidRPr="008958AB">
        <w:rPr>
          <w:rFonts w:hint="eastAsia"/>
          <w:bCs/>
          <w:color w:val="000000" w:themeColor="text1"/>
          <w:sz w:val="24"/>
        </w:rPr>
        <w:t>在符合有关基金分红条件的前提下，基金管理人可以根据实际情况进行收益分配，具体分配方案以公告为准，若《基金合同》生效不满</w:t>
      </w:r>
      <w:r w:rsidRPr="008958AB">
        <w:rPr>
          <w:rFonts w:hint="eastAsia"/>
          <w:bCs/>
          <w:color w:val="000000" w:themeColor="text1"/>
          <w:sz w:val="24"/>
        </w:rPr>
        <w:t>3</w:t>
      </w:r>
      <w:r w:rsidRPr="008958AB">
        <w:rPr>
          <w:rFonts w:hint="eastAsia"/>
          <w:bCs/>
          <w:color w:val="000000" w:themeColor="text1"/>
          <w:sz w:val="24"/>
        </w:rPr>
        <w:t>个月可不进行收益分配；</w:t>
      </w:r>
    </w:p>
    <w:p w14:paraId="26B65E5C" w14:textId="77777777" w:rsidR="00B438AF" w:rsidRPr="008958AB" w:rsidRDefault="006C47E3">
      <w:pPr>
        <w:spacing w:line="360" w:lineRule="auto"/>
        <w:ind w:firstLineChars="225" w:firstLine="540"/>
        <w:rPr>
          <w:bCs/>
          <w:color w:val="000000" w:themeColor="text1"/>
          <w:sz w:val="24"/>
        </w:rPr>
      </w:pPr>
      <w:r w:rsidRPr="008958AB">
        <w:rPr>
          <w:rFonts w:hint="eastAsia"/>
          <w:bCs/>
          <w:color w:val="000000" w:themeColor="text1"/>
          <w:sz w:val="24"/>
        </w:rPr>
        <w:t>3</w:t>
      </w:r>
      <w:r w:rsidRPr="008958AB">
        <w:rPr>
          <w:rFonts w:ascii="宋体" w:hAnsi="宋体" w:cs="Arial" w:hint="eastAsia"/>
          <w:color w:val="000000" w:themeColor="text1"/>
          <w:sz w:val="24"/>
        </w:rPr>
        <w:t>.</w:t>
      </w:r>
      <w:r w:rsidRPr="008958AB">
        <w:rPr>
          <w:rFonts w:hint="eastAsia"/>
          <w:bCs/>
          <w:color w:val="000000" w:themeColor="text1"/>
          <w:sz w:val="24"/>
        </w:rPr>
        <w:t>本基金收益分配方式分两种：现金分红与红利再投资，投资者可选择现金红利或将现金红利自动转为相应类别的基金份额进行再投资；各类别基金份额持有人可分别选择不同的分红方式，若投资者不选择，本基金默认的收益分配方式是现金分红；</w:t>
      </w:r>
    </w:p>
    <w:p w14:paraId="3D4EBF39" w14:textId="77777777" w:rsidR="00B438AF" w:rsidRPr="008958AB" w:rsidRDefault="006C47E3">
      <w:pPr>
        <w:spacing w:line="360" w:lineRule="auto"/>
        <w:ind w:firstLineChars="225" w:firstLine="540"/>
        <w:rPr>
          <w:bCs/>
          <w:color w:val="000000" w:themeColor="text1"/>
          <w:sz w:val="24"/>
        </w:rPr>
      </w:pPr>
      <w:r w:rsidRPr="008958AB">
        <w:rPr>
          <w:rFonts w:hint="eastAsia"/>
          <w:bCs/>
          <w:color w:val="000000" w:themeColor="text1"/>
          <w:sz w:val="24"/>
        </w:rPr>
        <w:t>4</w:t>
      </w:r>
      <w:r w:rsidRPr="008958AB">
        <w:rPr>
          <w:rFonts w:ascii="宋体" w:hAnsi="宋体" w:cs="Arial" w:hint="eastAsia"/>
          <w:color w:val="000000" w:themeColor="text1"/>
          <w:sz w:val="24"/>
        </w:rPr>
        <w:t>.</w:t>
      </w:r>
      <w:r w:rsidRPr="008958AB">
        <w:rPr>
          <w:bCs/>
          <w:color w:val="000000" w:themeColor="text1"/>
          <w:sz w:val="24"/>
        </w:rPr>
        <w:t>基金收益分配后</w:t>
      </w:r>
      <w:r w:rsidRPr="008958AB">
        <w:rPr>
          <w:rFonts w:hint="eastAsia"/>
          <w:bCs/>
          <w:color w:val="000000" w:themeColor="text1"/>
          <w:sz w:val="24"/>
        </w:rPr>
        <w:t>各类别</w:t>
      </w:r>
      <w:r w:rsidRPr="008958AB">
        <w:rPr>
          <w:bCs/>
          <w:color w:val="000000" w:themeColor="text1"/>
          <w:sz w:val="24"/>
        </w:rPr>
        <w:t>基金份额净值不能低于面值</w:t>
      </w:r>
      <w:r w:rsidRPr="008958AB">
        <w:rPr>
          <w:rFonts w:hint="eastAsia"/>
          <w:bCs/>
          <w:color w:val="000000" w:themeColor="text1"/>
          <w:sz w:val="24"/>
        </w:rPr>
        <w:t>，</w:t>
      </w:r>
      <w:r w:rsidRPr="008958AB">
        <w:rPr>
          <w:bCs/>
          <w:color w:val="000000" w:themeColor="text1"/>
          <w:sz w:val="24"/>
        </w:rPr>
        <w:t>即基金收益分配基准日的</w:t>
      </w:r>
      <w:r w:rsidRPr="008958AB">
        <w:rPr>
          <w:rFonts w:hint="eastAsia"/>
          <w:bCs/>
          <w:color w:val="000000" w:themeColor="text1"/>
          <w:sz w:val="24"/>
        </w:rPr>
        <w:t>各类别</w:t>
      </w:r>
      <w:r w:rsidRPr="008958AB">
        <w:rPr>
          <w:bCs/>
          <w:color w:val="000000" w:themeColor="text1"/>
          <w:sz w:val="24"/>
        </w:rPr>
        <w:t>基金份额净值减去每单位</w:t>
      </w:r>
      <w:r w:rsidRPr="008958AB">
        <w:rPr>
          <w:rFonts w:hint="eastAsia"/>
          <w:bCs/>
          <w:color w:val="000000" w:themeColor="text1"/>
          <w:sz w:val="24"/>
        </w:rPr>
        <w:t>该类别</w:t>
      </w:r>
      <w:r w:rsidRPr="008958AB">
        <w:rPr>
          <w:bCs/>
          <w:color w:val="000000" w:themeColor="text1"/>
          <w:sz w:val="24"/>
        </w:rPr>
        <w:t>基金份额收益分配金额后不能低于面值</w:t>
      </w:r>
      <w:r w:rsidRPr="008958AB">
        <w:rPr>
          <w:rFonts w:hint="eastAsia"/>
          <w:bCs/>
          <w:color w:val="000000" w:themeColor="text1"/>
          <w:sz w:val="24"/>
        </w:rPr>
        <w:t>；</w:t>
      </w:r>
    </w:p>
    <w:p w14:paraId="110AB258" w14:textId="77777777" w:rsidR="00B438AF" w:rsidRPr="008958AB" w:rsidRDefault="006C47E3">
      <w:pPr>
        <w:spacing w:line="360" w:lineRule="auto"/>
        <w:ind w:firstLineChars="225" w:firstLine="540"/>
        <w:rPr>
          <w:bCs/>
          <w:color w:val="000000" w:themeColor="text1"/>
          <w:sz w:val="24"/>
        </w:rPr>
      </w:pPr>
      <w:r w:rsidRPr="008958AB">
        <w:rPr>
          <w:rFonts w:hint="eastAsia"/>
          <w:bCs/>
          <w:color w:val="000000" w:themeColor="text1"/>
          <w:sz w:val="24"/>
        </w:rPr>
        <w:t>5</w:t>
      </w:r>
      <w:r w:rsidRPr="008958AB">
        <w:rPr>
          <w:rFonts w:ascii="宋体" w:hAnsi="宋体" w:cs="Arial" w:hint="eastAsia"/>
          <w:color w:val="000000" w:themeColor="text1"/>
          <w:sz w:val="24"/>
        </w:rPr>
        <w:t>.</w:t>
      </w:r>
      <w:r w:rsidRPr="008958AB">
        <w:rPr>
          <w:rFonts w:hint="eastAsia"/>
          <w:bCs/>
          <w:color w:val="000000" w:themeColor="text1"/>
          <w:sz w:val="24"/>
        </w:rPr>
        <w:t>除法律法规另有规定或基金合同另有约定外，同一类别的每一基金份额享有同等分配权；</w:t>
      </w:r>
    </w:p>
    <w:p w14:paraId="62689C21" w14:textId="77777777" w:rsidR="00B438AF" w:rsidRPr="008958AB" w:rsidRDefault="006C47E3">
      <w:pPr>
        <w:spacing w:line="360" w:lineRule="auto"/>
        <w:ind w:firstLineChars="225" w:firstLine="540"/>
        <w:rPr>
          <w:bCs/>
          <w:color w:val="000000" w:themeColor="text1"/>
          <w:sz w:val="24"/>
        </w:rPr>
      </w:pPr>
      <w:r w:rsidRPr="008958AB">
        <w:rPr>
          <w:rFonts w:hint="eastAsia"/>
          <w:bCs/>
          <w:color w:val="000000" w:themeColor="text1"/>
          <w:sz w:val="24"/>
        </w:rPr>
        <w:t>6</w:t>
      </w:r>
      <w:r w:rsidRPr="008958AB">
        <w:rPr>
          <w:rFonts w:ascii="宋体" w:hAnsi="宋体" w:cs="Arial" w:hint="eastAsia"/>
          <w:color w:val="000000" w:themeColor="text1"/>
          <w:sz w:val="24"/>
        </w:rPr>
        <w:t>.</w:t>
      </w:r>
      <w:r w:rsidRPr="008958AB">
        <w:rPr>
          <w:rFonts w:hint="eastAsia"/>
          <w:bCs/>
          <w:color w:val="000000" w:themeColor="text1"/>
          <w:sz w:val="24"/>
        </w:rPr>
        <w:t>法律法规或监管机关另有规定的，从其规定。</w:t>
      </w:r>
    </w:p>
    <w:p w14:paraId="623A86BC" w14:textId="08E77881" w:rsidR="00B438AF" w:rsidRPr="008958AB" w:rsidRDefault="006C47E3">
      <w:pPr>
        <w:spacing w:line="360" w:lineRule="auto"/>
        <w:ind w:firstLineChars="225" w:firstLine="540"/>
        <w:rPr>
          <w:bCs/>
          <w:color w:val="000000" w:themeColor="text1"/>
          <w:sz w:val="24"/>
        </w:rPr>
      </w:pPr>
      <w:r w:rsidRPr="008958AB">
        <w:rPr>
          <w:bCs/>
          <w:color w:val="000000" w:themeColor="text1"/>
          <w:sz w:val="24"/>
        </w:rPr>
        <w:t>在</w:t>
      </w:r>
      <w:r w:rsidRPr="008958AB">
        <w:rPr>
          <w:rFonts w:hint="eastAsia"/>
          <w:bCs/>
          <w:color w:val="000000" w:themeColor="text1"/>
          <w:sz w:val="24"/>
        </w:rPr>
        <w:t>符合法律法规及基金合同约定，并对</w:t>
      </w:r>
      <w:r w:rsidRPr="008958AB">
        <w:rPr>
          <w:bCs/>
          <w:color w:val="000000" w:themeColor="text1"/>
          <w:sz w:val="24"/>
        </w:rPr>
        <w:t>基金份额持有人利益</w:t>
      </w:r>
      <w:r w:rsidRPr="008958AB">
        <w:rPr>
          <w:rFonts w:hint="eastAsia"/>
          <w:bCs/>
          <w:color w:val="000000" w:themeColor="text1"/>
          <w:sz w:val="24"/>
        </w:rPr>
        <w:t>无实质不利影响</w:t>
      </w:r>
      <w:r w:rsidRPr="008958AB">
        <w:rPr>
          <w:bCs/>
          <w:color w:val="000000" w:themeColor="text1"/>
          <w:sz w:val="24"/>
        </w:rPr>
        <w:t>的情况下</w:t>
      </w:r>
      <w:r w:rsidRPr="008958AB">
        <w:rPr>
          <w:rFonts w:hint="eastAsia"/>
          <w:bCs/>
          <w:color w:val="000000" w:themeColor="text1"/>
          <w:sz w:val="24"/>
        </w:rPr>
        <w:t>，</w:t>
      </w:r>
      <w:r w:rsidR="00EF5D92" w:rsidRPr="00EF5D92">
        <w:rPr>
          <w:rFonts w:hint="eastAsia"/>
          <w:bCs/>
          <w:color w:val="000000" w:themeColor="text1"/>
          <w:sz w:val="24"/>
        </w:rPr>
        <w:t>履行适当程序后，</w:t>
      </w:r>
      <w:r w:rsidRPr="008958AB">
        <w:rPr>
          <w:rFonts w:hint="eastAsia"/>
          <w:bCs/>
          <w:color w:val="000000" w:themeColor="text1"/>
          <w:sz w:val="24"/>
        </w:rPr>
        <w:t>经与基金托管人协商一致，</w:t>
      </w:r>
      <w:r w:rsidRPr="008958AB">
        <w:rPr>
          <w:bCs/>
          <w:color w:val="000000" w:themeColor="text1"/>
          <w:sz w:val="24"/>
        </w:rPr>
        <w:t>基金管理人</w:t>
      </w:r>
      <w:r w:rsidRPr="008958AB">
        <w:rPr>
          <w:rFonts w:hint="eastAsia"/>
          <w:bCs/>
          <w:color w:val="000000" w:themeColor="text1"/>
          <w:sz w:val="24"/>
        </w:rPr>
        <w:t>可对</w:t>
      </w:r>
      <w:r w:rsidRPr="008958AB">
        <w:rPr>
          <w:bCs/>
          <w:color w:val="000000" w:themeColor="text1"/>
          <w:sz w:val="24"/>
        </w:rPr>
        <w:t>基金收益分配</w:t>
      </w:r>
      <w:r w:rsidRPr="008958AB">
        <w:rPr>
          <w:rFonts w:hint="eastAsia"/>
          <w:bCs/>
          <w:color w:val="000000" w:themeColor="text1"/>
          <w:sz w:val="24"/>
        </w:rPr>
        <w:t>原则和支付方式</w:t>
      </w:r>
      <w:r w:rsidRPr="008958AB">
        <w:rPr>
          <w:bCs/>
          <w:color w:val="000000" w:themeColor="text1"/>
          <w:sz w:val="24"/>
        </w:rPr>
        <w:t>进行调整</w:t>
      </w:r>
      <w:r w:rsidR="00EF5D92" w:rsidRPr="00EF5D92">
        <w:rPr>
          <w:rFonts w:hint="eastAsia"/>
          <w:bCs/>
          <w:color w:val="000000" w:themeColor="text1"/>
          <w:sz w:val="24"/>
        </w:rPr>
        <w:t>，并</w:t>
      </w:r>
      <w:r w:rsidRPr="008958AB">
        <w:rPr>
          <w:bCs/>
          <w:color w:val="000000" w:themeColor="text1"/>
          <w:sz w:val="24"/>
        </w:rPr>
        <w:t>于调整实施日前在规定媒介公告</w:t>
      </w:r>
      <w:r w:rsidRPr="008958AB">
        <w:rPr>
          <w:rFonts w:hint="eastAsia"/>
          <w:bCs/>
          <w:color w:val="000000" w:themeColor="text1"/>
          <w:sz w:val="24"/>
        </w:rPr>
        <w:t>。</w:t>
      </w:r>
    </w:p>
    <w:p w14:paraId="7A4FD7F3"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（二）基金收益分配的时间和程序</w:t>
      </w:r>
    </w:p>
    <w:p w14:paraId="641C7691"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本基金收益分配方案由基金管理人拟定，并由基金托管人复核，依照《信息披露办法》的有关规定在规定媒介公告。基金收益分配方案公告后(依据具体方案的规定)，基金管理人就支付的现金红利向基金托管人发送划款指令，基金托管人按照基金管理人的指令及时进行分红资金的划付。</w:t>
      </w:r>
    </w:p>
    <w:p w14:paraId="32FD8B18"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基金收益分配时所发生的银行转账或其他手续费用由投资者自行承担。当投</w:t>
      </w:r>
      <w:r w:rsidRPr="008958AB">
        <w:rPr>
          <w:rFonts w:ascii="宋体" w:hAnsi="宋体" w:cs="Arial" w:hint="eastAsia"/>
          <w:color w:val="000000" w:themeColor="text1"/>
          <w:sz w:val="24"/>
        </w:rPr>
        <w:lastRenderedPageBreak/>
        <w:t>资者的现金红利小于一定金额，不足以支付银行转账或其他手续费用时，基金登记机构可将基金份额持有人的现金红利自动转为相应类别的基金份额。红利再投资的计算方法，依照《业务规则》执行。</w:t>
      </w:r>
    </w:p>
    <w:p w14:paraId="43CDD935"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（三）实施</w:t>
      </w:r>
      <w:proofErr w:type="gramStart"/>
      <w:r w:rsidRPr="008958AB">
        <w:rPr>
          <w:rFonts w:ascii="宋体" w:hAnsi="宋体" w:cs="Arial" w:hint="eastAsia"/>
          <w:color w:val="000000" w:themeColor="text1"/>
          <w:sz w:val="24"/>
        </w:rPr>
        <w:t>侧袋机制</w:t>
      </w:r>
      <w:proofErr w:type="gramEnd"/>
      <w:r w:rsidRPr="008958AB">
        <w:rPr>
          <w:rFonts w:ascii="宋体" w:hAnsi="宋体" w:cs="Arial" w:hint="eastAsia"/>
          <w:color w:val="000000" w:themeColor="text1"/>
          <w:sz w:val="24"/>
        </w:rPr>
        <w:t>期间的收益分配</w:t>
      </w:r>
    </w:p>
    <w:p w14:paraId="4B1296A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本基金实施</w:t>
      </w:r>
      <w:proofErr w:type="gramStart"/>
      <w:r w:rsidRPr="008958AB">
        <w:rPr>
          <w:rFonts w:ascii="宋体" w:hAnsi="宋体" w:cs="Arial" w:hint="eastAsia"/>
          <w:color w:val="000000" w:themeColor="text1"/>
          <w:sz w:val="24"/>
        </w:rPr>
        <w:t>侧袋机制</w:t>
      </w:r>
      <w:proofErr w:type="gramEnd"/>
      <w:r w:rsidRPr="008958AB">
        <w:rPr>
          <w:rFonts w:ascii="宋体" w:hAnsi="宋体" w:cs="Arial" w:hint="eastAsia"/>
          <w:color w:val="000000" w:themeColor="text1"/>
          <w:sz w:val="24"/>
        </w:rPr>
        <w:t>的，</w:t>
      </w:r>
      <w:proofErr w:type="gramStart"/>
      <w:r w:rsidRPr="008958AB">
        <w:rPr>
          <w:rFonts w:ascii="宋体" w:hAnsi="宋体" w:cs="Arial" w:hint="eastAsia"/>
          <w:color w:val="000000" w:themeColor="text1"/>
          <w:sz w:val="24"/>
        </w:rPr>
        <w:t>侧袋账户</w:t>
      </w:r>
      <w:proofErr w:type="gramEnd"/>
      <w:r w:rsidRPr="008958AB">
        <w:rPr>
          <w:rFonts w:ascii="宋体" w:hAnsi="宋体" w:cs="Arial" w:hint="eastAsia"/>
          <w:color w:val="000000" w:themeColor="text1"/>
          <w:sz w:val="24"/>
        </w:rPr>
        <w:t>不进行收益分配，详见招募说明书的规定。</w:t>
      </w:r>
    </w:p>
    <w:p w14:paraId="232A5AB0" w14:textId="77777777" w:rsidR="00B438AF" w:rsidRPr="008958AB" w:rsidRDefault="006C47E3">
      <w:pPr>
        <w:pStyle w:val="2"/>
        <w:spacing w:line="360" w:lineRule="auto"/>
        <w:jc w:val="center"/>
        <w:rPr>
          <w:rFonts w:ascii="宋体" w:eastAsia="宋体" w:hAnsi="宋体"/>
          <w:color w:val="000000" w:themeColor="text1"/>
          <w:sz w:val="30"/>
        </w:rPr>
      </w:pPr>
      <w:bookmarkStart w:id="87" w:name="_Toc124325894"/>
      <w:r w:rsidRPr="008958AB">
        <w:rPr>
          <w:rFonts w:ascii="宋体" w:eastAsia="宋体" w:hAnsi="宋体" w:hint="eastAsia"/>
          <w:color w:val="000000" w:themeColor="text1"/>
          <w:sz w:val="30"/>
        </w:rPr>
        <w:t>十、基金信息披露</w:t>
      </w:r>
      <w:bookmarkEnd w:id="87"/>
    </w:p>
    <w:p w14:paraId="2AE5D97F"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（一）保密义务</w:t>
      </w:r>
    </w:p>
    <w:p w14:paraId="4ED5A28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4C8A9CC"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1.非因基金管理人和基金托管人的原因导致保密信息被披露、泄露或公开；</w:t>
      </w:r>
    </w:p>
    <w:p w14:paraId="5126DD0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2.基金管理人和基金托管人为遵守和服从法院判决或裁定、仲裁裁决或中国证监会等监管机构的命令、决定所做出的信息披露或公开。</w:t>
      </w:r>
    </w:p>
    <w:p w14:paraId="5AF99720" w14:textId="77777777" w:rsidR="00B438AF" w:rsidRPr="008958AB" w:rsidRDefault="006C47E3">
      <w:pPr>
        <w:adjustRightInd w:val="0"/>
        <w:snapToGrid w:val="0"/>
        <w:spacing w:line="360" w:lineRule="auto"/>
        <w:ind w:firstLineChars="200" w:firstLine="480"/>
        <w:rPr>
          <w:rFonts w:ascii="宋体" w:hAnsi="宋体"/>
          <w:color w:val="000000" w:themeColor="text1"/>
          <w:sz w:val="24"/>
        </w:rPr>
      </w:pPr>
      <w:r w:rsidRPr="008958AB">
        <w:rPr>
          <w:rFonts w:ascii="宋体" w:hAnsi="宋体" w:cs="Arial" w:hint="eastAsia"/>
          <w:color w:val="000000" w:themeColor="text1"/>
          <w:sz w:val="24"/>
        </w:rPr>
        <w:t>3</w:t>
      </w:r>
      <w:r w:rsidRPr="008958AB">
        <w:rPr>
          <w:rFonts w:ascii="宋体" w:hAnsi="宋体" w:cs="Arial"/>
          <w:color w:val="000000" w:themeColor="text1"/>
          <w:sz w:val="24"/>
        </w:rPr>
        <w:t>.</w:t>
      </w:r>
      <w:r w:rsidRPr="008958AB">
        <w:rPr>
          <w:rFonts w:ascii="宋体" w:hAnsi="宋体" w:cs="Arial" w:hint="eastAsia"/>
          <w:color w:val="000000" w:themeColor="text1"/>
          <w:sz w:val="24"/>
        </w:rPr>
        <w:t>基金管理人和基金托管人在要求保密的前提下对自身聘请的外部法律顾问、财务顾问、审计人员、技术顾问等做出的必要信息披露。</w:t>
      </w:r>
    </w:p>
    <w:p w14:paraId="34279B11"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（二）信息披露的内容</w:t>
      </w:r>
    </w:p>
    <w:p w14:paraId="6E7498FD"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的信息披露内容主要包括基金招募说明书、《基金合同》、基金托管协议、基金产品资料概要、基金份额发售公告、《基金合同》生效公告、基金净值信息、基金份额申购、赎回价格、基金定期报告（包括基金年度报告、基金中期报告和基金季度报告（含资产组合季度报告））、临时报告、澄清公告、基金份额持有人大会决议、</w:t>
      </w:r>
      <w:r w:rsidRPr="008958AB">
        <w:rPr>
          <w:rFonts w:hint="eastAsia"/>
          <w:bCs/>
          <w:color w:val="000000" w:themeColor="text1"/>
          <w:sz w:val="24"/>
        </w:rPr>
        <w:t>发起资金认购份额报告、</w:t>
      </w:r>
      <w:r w:rsidRPr="008958AB">
        <w:rPr>
          <w:rFonts w:ascii="宋体" w:hAnsi="宋体" w:cs="Arial" w:hint="eastAsia"/>
          <w:color w:val="000000" w:themeColor="text1"/>
          <w:sz w:val="24"/>
        </w:rPr>
        <w:t>清算报告、股指期货交易的信息披露、国债期货交易的信息披露、股票期权投资的信息披露、投资资产支持证券的信息披露、</w:t>
      </w:r>
      <w:r w:rsidRPr="008958AB">
        <w:rPr>
          <w:rFonts w:hint="eastAsia"/>
          <w:bCs/>
          <w:color w:val="000000" w:themeColor="text1"/>
          <w:sz w:val="24"/>
        </w:rPr>
        <w:t>投资非公开发行股票的信息披露、投资港股通标的股票的信息披露、</w:t>
      </w:r>
      <w:r w:rsidRPr="008958AB">
        <w:rPr>
          <w:rFonts w:ascii="宋体" w:hAnsi="宋体" w:cs="Arial" w:hint="eastAsia"/>
          <w:color w:val="000000" w:themeColor="text1"/>
          <w:sz w:val="24"/>
        </w:rPr>
        <w:t>参与融资业务的信息披露、投资存托凭证的信息披露、实施</w:t>
      </w:r>
      <w:proofErr w:type="gramStart"/>
      <w:r w:rsidRPr="008958AB">
        <w:rPr>
          <w:rFonts w:ascii="宋体" w:hAnsi="宋体" w:cs="Arial" w:hint="eastAsia"/>
          <w:color w:val="000000" w:themeColor="text1"/>
          <w:sz w:val="24"/>
        </w:rPr>
        <w:t>侧袋机制</w:t>
      </w:r>
      <w:proofErr w:type="gramEnd"/>
      <w:r w:rsidRPr="008958AB">
        <w:rPr>
          <w:rFonts w:ascii="宋体" w:hAnsi="宋体" w:cs="Arial" w:hint="eastAsia"/>
          <w:color w:val="000000" w:themeColor="text1"/>
          <w:sz w:val="24"/>
        </w:rPr>
        <w:t>期间的信息披露及中国证监会规定的其他信息。基金年度报告中的财务会计报告需</w:t>
      </w:r>
      <w:proofErr w:type="gramStart"/>
      <w:r w:rsidRPr="008958AB">
        <w:rPr>
          <w:rFonts w:ascii="宋体" w:hAnsi="宋体" w:cs="Arial" w:hint="eastAsia"/>
          <w:color w:val="000000" w:themeColor="text1"/>
          <w:sz w:val="24"/>
        </w:rPr>
        <w:t>经符合</w:t>
      </w:r>
      <w:proofErr w:type="gramEnd"/>
      <w:r w:rsidRPr="008958AB">
        <w:rPr>
          <w:rFonts w:ascii="宋体" w:hAnsi="宋体" w:cs="Arial" w:hint="eastAsia"/>
          <w:color w:val="000000" w:themeColor="text1"/>
          <w:sz w:val="24"/>
        </w:rPr>
        <w:t>《证券法》规定的会计师事务所审计后，方可披露。</w:t>
      </w:r>
    </w:p>
    <w:p w14:paraId="0A1E1C7F"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lastRenderedPageBreak/>
        <w:t>（三）基金托管人和基金管理人在信息披露中的职责和信息披露程序</w:t>
      </w:r>
    </w:p>
    <w:p w14:paraId="4037EDE8"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1.职责</w:t>
      </w:r>
    </w:p>
    <w:p w14:paraId="3CAEB8D8"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5F60EF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对于不需要基金托管人复核的信息，基金管理人在公告前应告知基金托管人。</w:t>
      </w:r>
    </w:p>
    <w:p w14:paraId="1BA8BAB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基金管理人和基金托管人应积极配合、互相监督，保证其履行按照法定方式和时限披露的义务。</w:t>
      </w:r>
    </w:p>
    <w:p w14:paraId="330F3BD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6A78A17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当出现下述情况时，基金管理人和基金托管人可暂停或延迟披露基金相关信息：</w:t>
      </w:r>
    </w:p>
    <w:p w14:paraId="30D8438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(1)不可抗力；</w:t>
      </w:r>
    </w:p>
    <w:p w14:paraId="73A45DD3" w14:textId="06E81100"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w:t>
      </w:r>
      <w:r w:rsidRPr="008958AB">
        <w:rPr>
          <w:rFonts w:hint="eastAsia"/>
          <w:bCs/>
          <w:color w:val="000000" w:themeColor="text1"/>
          <w:sz w:val="24"/>
        </w:rPr>
        <w:t>基金投资所涉及的证券</w:t>
      </w:r>
      <w:r w:rsidRPr="008958AB">
        <w:rPr>
          <w:rFonts w:hint="eastAsia"/>
          <w:bCs/>
          <w:color w:val="000000" w:themeColor="text1"/>
          <w:sz w:val="24"/>
        </w:rPr>
        <w:t>/</w:t>
      </w:r>
      <w:r w:rsidRPr="008958AB">
        <w:rPr>
          <w:rFonts w:hint="eastAsia"/>
          <w:bCs/>
          <w:color w:val="000000" w:themeColor="text1"/>
          <w:sz w:val="24"/>
        </w:rPr>
        <w:t>期货交易所或外汇市场遇法定节假日或基金参与港股</w:t>
      </w:r>
      <w:proofErr w:type="gramStart"/>
      <w:r w:rsidRPr="008958AB">
        <w:rPr>
          <w:rFonts w:hint="eastAsia"/>
          <w:bCs/>
          <w:color w:val="000000" w:themeColor="text1"/>
          <w:sz w:val="24"/>
        </w:rPr>
        <w:t>通交易且港股通临时</w:t>
      </w:r>
      <w:proofErr w:type="gramEnd"/>
      <w:r w:rsidRPr="008958AB">
        <w:rPr>
          <w:rFonts w:hint="eastAsia"/>
          <w:bCs/>
          <w:color w:val="000000" w:themeColor="text1"/>
          <w:sz w:val="24"/>
        </w:rPr>
        <w:t>停市或因其他原因暂停营业时</w:t>
      </w:r>
      <w:r w:rsidRPr="008958AB">
        <w:rPr>
          <w:rFonts w:ascii="宋体" w:hAnsi="宋体" w:cs="Arial" w:hint="eastAsia"/>
          <w:color w:val="000000" w:themeColor="text1"/>
          <w:sz w:val="24"/>
        </w:rPr>
        <w:t>；</w:t>
      </w:r>
    </w:p>
    <w:p w14:paraId="03B04D2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w:t>
      </w:r>
      <w:r w:rsidRPr="008958AB">
        <w:rPr>
          <w:rFonts w:hint="eastAsia"/>
          <w:bCs/>
          <w:color w:val="000000" w:themeColor="text1"/>
          <w:sz w:val="24"/>
        </w:rPr>
        <w:t>出现《基金合同》约定的暂停估值的情形</w:t>
      </w:r>
      <w:r w:rsidRPr="008958AB">
        <w:rPr>
          <w:rFonts w:ascii="宋体" w:hAnsi="宋体" w:cs="Arial" w:hint="eastAsia"/>
          <w:color w:val="000000" w:themeColor="text1"/>
          <w:sz w:val="24"/>
        </w:rPr>
        <w:t>；</w:t>
      </w:r>
    </w:p>
    <w:p w14:paraId="1D8DBC5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(4)法律法规规定、中国证监会或基金合同认定的其他情形。</w:t>
      </w:r>
    </w:p>
    <w:p w14:paraId="617F659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2.程序</w:t>
      </w:r>
    </w:p>
    <w:p w14:paraId="6F6A3C9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按有关规定须经基金托管人复核的信息披露文件，由基金管理人起草、并经基金托管人复核后由基金管理人公告。发生《基金合同》中规定需要披露的事项时，按《基金合同》规定公布。</w:t>
      </w:r>
    </w:p>
    <w:p w14:paraId="59A3065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3.信息文本的存放</w:t>
      </w:r>
    </w:p>
    <w:p w14:paraId="5E36BB6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依法必须披露的信息发布后，基金管理人、基金托管人应当按照相关法律法规规定将信息置备于其住所，以供社会公众查阅、复制。在支付工本费后可在合理时间获得上述文件的复制件或复印件。基金管理人和基金托管人应保证文本的内容与所公告的内容完全一致。</w:t>
      </w:r>
    </w:p>
    <w:p w14:paraId="74C1288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（四）实施</w:t>
      </w:r>
      <w:proofErr w:type="gramStart"/>
      <w:r w:rsidRPr="008958AB">
        <w:rPr>
          <w:rFonts w:ascii="宋体" w:hAnsi="宋体" w:cs="Arial" w:hint="eastAsia"/>
          <w:color w:val="000000" w:themeColor="text1"/>
          <w:sz w:val="24"/>
        </w:rPr>
        <w:t>侧袋机制</w:t>
      </w:r>
      <w:proofErr w:type="gramEnd"/>
      <w:r w:rsidRPr="008958AB">
        <w:rPr>
          <w:rFonts w:ascii="宋体" w:hAnsi="宋体" w:cs="Arial" w:hint="eastAsia"/>
          <w:color w:val="000000" w:themeColor="text1"/>
          <w:sz w:val="24"/>
        </w:rPr>
        <w:t>期间的信息披露</w:t>
      </w:r>
    </w:p>
    <w:p w14:paraId="313D8EE7" w14:textId="77777777" w:rsidR="00B438AF" w:rsidRPr="008958AB" w:rsidRDefault="006C47E3">
      <w:pPr>
        <w:pStyle w:val="a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本基金实施</w:t>
      </w:r>
      <w:proofErr w:type="gramStart"/>
      <w:r w:rsidRPr="008958AB">
        <w:rPr>
          <w:rFonts w:ascii="宋体" w:hAnsi="宋体" w:cs="Arial" w:hint="eastAsia"/>
          <w:color w:val="000000" w:themeColor="text1"/>
          <w:sz w:val="24"/>
        </w:rPr>
        <w:t>侧袋机制</w:t>
      </w:r>
      <w:proofErr w:type="gramEnd"/>
      <w:r w:rsidRPr="008958AB">
        <w:rPr>
          <w:rFonts w:ascii="宋体" w:hAnsi="宋体" w:cs="Arial" w:hint="eastAsia"/>
          <w:color w:val="000000" w:themeColor="text1"/>
          <w:sz w:val="24"/>
        </w:rPr>
        <w:t>的，相关信息披露义务人应当根据法律法规、基金合同和</w:t>
      </w:r>
      <w:r w:rsidRPr="008958AB">
        <w:rPr>
          <w:rFonts w:ascii="宋体" w:hAnsi="宋体" w:cs="Arial" w:hint="eastAsia"/>
          <w:color w:val="000000" w:themeColor="text1"/>
          <w:sz w:val="24"/>
        </w:rPr>
        <w:lastRenderedPageBreak/>
        <w:t>招募说明书的规定进行信息披露，详见招募说明书的规定。</w:t>
      </w:r>
    </w:p>
    <w:p w14:paraId="219FFA21" w14:textId="77777777" w:rsidR="00B438AF" w:rsidRPr="008958AB" w:rsidRDefault="006C47E3">
      <w:pPr>
        <w:pStyle w:val="a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（五）法律法规或监管部门对适用于本基金的信息披露另有规定的，从其规定。如规定发生变化的，从其最新规定。</w:t>
      </w:r>
    </w:p>
    <w:p w14:paraId="114B7F09" w14:textId="77777777" w:rsidR="00B438AF" w:rsidRPr="008958AB" w:rsidRDefault="00B438AF">
      <w:pPr>
        <w:pStyle w:val="a0"/>
        <w:spacing w:line="360" w:lineRule="auto"/>
        <w:ind w:firstLineChars="0" w:firstLine="0"/>
        <w:rPr>
          <w:rFonts w:ascii="宋体" w:hAnsi="宋体" w:cs="Arial"/>
          <w:color w:val="000000" w:themeColor="text1"/>
          <w:sz w:val="24"/>
        </w:rPr>
      </w:pPr>
    </w:p>
    <w:p w14:paraId="185534D8" w14:textId="77777777" w:rsidR="00B438AF" w:rsidRPr="008958AB" w:rsidRDefault="006C47E3">
      <w:pPr>
        <w:pStyle w:val="2"/>
        <w:spacing w:line="360" w:lineRule="auto"/>
        <w:jc w:val="center"/>
        <w:rPr>
          <w:rFonts w:ascii="宋体" w:eastAsia="宋体" w:hAnsi="宋体"/>
          <w:color w:val="000000" w:themeColor="text1"/>
          <w:sz w:val="30"/>
        </w:rPr>
      </w:pPr>
      <w:bookmarkStart w:id="88" w:name="_Toc124325895"/>
      <w:r w:rsidRPr="008958AB">
        <w:rPr>
          <w:rFonts w:ascii="宋体" w:eastAsia="宋体" w:hAnsi="宋体" w:hint="eastAsia"/>
          <w:color w:val="000000" w:themeColor="text1"/>
          <w:sz w:val="30"/>
        </w:rPr>
        <w:t>十一、基金费用</w:t>
      </w:r>
      <w:bookmarkEnd w:id="88"/>
    </w:p>
    <w:p w14:paraId="17D8FB4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（一）基金管理费的计提比例和计提方法</w:t>
      </w:r>
    </w:p>
    <w:p w14:paraId="7A2C2D6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本基金的管理费按前一日基金资产净值的1</w:t>
      </w:r>
      <w:r w:rsidRPr="008958AB">
        <w:rPr>
          <w:rFonts w:ascii="宋体" w:hAnsi="宋体" w:cs="Arial"/>
          <w:color w:val="000000" w:themeColor="text1"/>
          <w:sz w:val="24"/>
        </w:rPr>
        <w:t>.2</w:t>
      </w:r>
      <w:r w:rsidRPr="008958AB">
        <w:rPr>
          <w:rFonts w:ascii="宋体" w:hAnsi="宋体" w:cs="Arial" w:hint="eastAsia"/>
          <w:color w:val="000000" w:themeColor="text1"/>
          <w:sz w:val="24"/>
        </w:rPr>
        <w:t>%年费率计提。管理费的计算方法如下：</w:t>
      </w:r>
    </w:p>
    <w:p w14:paraId="0BD6B01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H＝E×1</w:t>
      </w:r>
      <w:r w:rsidRPr="008958AB">
        <w:rPr>
          <w:rFonts w:ascii="宋体" w:hAnsi="宋体" w:cs="Arial"/>
          <w:color w:val="000000" w:themeColor="text1"/>
          <w:sz w:val="24"/>
        </w:rPr>
        <w:t>.2%</w:t>
      </w:r>
      <w:r w:rsidRPr="008958AB">
        <w:rPr>
          <w:rFonts w:ascii="宋体" w:hAnsi="宋体" w:cs="Arial" w:hint="eastAsia"/>
          <w:color w:val="000000" w:themeColor="text1"/>
          <w:sz w:val="24"/>
        </w:rPr>
        <w:t>÷当年天数</w:t>
      </w:r>
    </w:p>
    <w:p w14:paraId="462F57B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H为每日应计提的基金管理费</w:t>
      </w:r>
    </w:p>
    <w:p w14:paraId="21453278"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E为前一日的基金资产净值</w:t>
      </w:r>
    </w:p>
    <w:p w14:paraId="76ADEC6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（二）基金托管费的计提比例和计提方法</w:t>
      </w:r>
    </w:p>
    <w:p w14:paraId="0952F7D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本基金的托管费按前一日基金资产净值的0</w:t>
      </w:r>
      <w:r w:rsidRPr="008958AB">
        <w:rPr>
          <w:rFonts w:ascii="宋体" w:hAnsi="宋体" w:cs="Arial"/>
          <w:color w:val="000000" w:themeColor="text1"/>
          <w:sz w:val="24"/>
        </w:rPr>
        <w:t>.2</w:t>
      </w:r>
      <w:r w:rsidRPr="008958AB">
        <w:rPr>
          <w:rFonts w:ascii="宋体" w:hAnsi="宋体" w:cs="Arial" w:hint="eastAsia"/>
          <w:color w:val="000000" w:themeColor="text1"/>
          <w:sz w:val="24"/>
        </w:rPr>
        <w:t>%年费率计提。托管费的计算方法如下：</w:t>
      </w:r>
    </w:p>
    <w:p w14:paraId="4EFAFDCC"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H＝E×0</w:t>
      </w:r>
      <w:r w:rsidRPr="008958AB">
        <w:rPr>
          <w:rFonts w:ascii="宋体" w:hAnsi="宋体" w:cs="Arial"/>
          <w:color w:val="000000" w:themeColor="text1"/>
          <w:sz w:val="24"/>
        </w:rPr>
        <w:t>.2%</w:t>
      </w:r>
      <w:r w:rsidRPr="008958AB">
        <w:rPr>
          <w:rFonts w:ascii="宋体" w:hAnsi="宋体" w:cs="Arial" w:hint="eastAsia"/>
          <w:color w:val="000000" w:themeColor="text1"/>
          <w:sz w:val="24"/>
        </w:rPr>
        <w:t>÷当年天数</w:t>
      </w:r>
    </w:p>
    <w:p w14:paraId="0DE75D4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H为每日应计提的基金托管费</w:t>
      </w:r>
    </w:p>
    <w:p w14:paraId="7FF1D19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E为前一日的基金资产净值</w:t>
      </w:r>
    </w:p>
    <w:p w14:paraId="7B02908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（三）C类基金份额的销售服务费</w:t>
      </w:r>
    </w:p>
    <w:p w14:paraId="2C6F82DB"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本基金A类基金份额不收取销售服务费，C类基金份额的销售服务费按前一日C类基金份额基金资产净值的0.</w:t>
      </w:r>
      <w:r w:rsidRPr="008958AB">
        <w:rPr>
          <w:rFonts w:ascii="宋体" w:hAnsi="宋体" w:cs="Arial"/>
          <w:color w:val="000000" w:themeColor="text1"/>
          <w:sz w:val="24"/>
        </w:rPr>
        <w:t>4</w:t>
      </w:r>
      <w:r w:rsidRPr="008958AB">
        <w:rPr>
          <w:rFonts w:ascii="宋体" w:hAnsi="宋体" w:cs="Arial" w:hint="eastAsia"/>
          <w:color w:val="000000" w:themeColor="text1"/>
          <w:sz w:val="24"/>
        </w:rPr>
        <w:t>%年费率计提。计算方法如下：</w:t>
      </w:r>
    </w:p>
    <w:p w14:paraId="4CFBD01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H＝E×0.</w:t>
      </w:r>
      <w:r w:rsidRPr="008958AB">
        <w:rPr>
          <w:rFonts w:ascii="宋体" w:hAnsi="宋体" w:cs="Arial"/>
          <w:color w:val="000000" w:themeColor="text1"/>
          <w:sz w:val="24"/>
        </w:rPr>
        <w:t>4</w:t>
      </w:r>
      <w:r w:rsidRPr="008958AB">
        <w:rPr>
          <w:rFonts w:ascii="宋体" w:hAnsi="宋体" w:cs="Arial" w:hint="eastAsia"/>
          <w:color w:val="000000" w:themeColor="text1"/>
          <w:sz w:val="24"/>
        </w:rPr>
        <w:t>%÷当年天数</w:t>
      </w:r>
    </w:p>
    <w:p w14:paraId="736BF07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H为C类基金份额每日应计提的销售服务费</w:t>
      </w:r>
    </w:p>
    <w:p w14:paraId="0EF47F0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E为C类基金份额前一日基金资产净值</w:t>
      </w:r>
    </w:p>
    <w:p w14:paraId="54B96D15" w14:textId="0FE0D504"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四）基金的证券、期货交易费用或结算而产生的费用、基金的银行汇划费用、账户开户费用和账户维护费、《基金合同》生效后与基金相关的信息披露费用（除法律法规、中国证监会另有规定外）、基金份额持有人大会费用、《基金合同》生效后与基金相关的会计师费、律师费、审计费、仲裁费和诉讼费、</w:t>
      </w:r>
      <w:r w:rsidRPr="008958AB">
        <w:rPr>
          <w:rFonts w:hint="eastAsia"/>
          <w:bCs/>
          <w:color w:val="000000" w:themeColor="text1"/>
          <w:sz w:val="24"/>
        </w:rPr>
        <w:t>因投资港股通标的股票而产生的各项合理费用</w:t>
      </w:r>
      <w:r w:rsidRPr="008958AB">
        <w:rPr>
          <w:rFonts w:ascii="宋体" w:hAnsi="宋体" w:cs="Arial" w:hint="eastAsia"/>
          <w:color w:val="000000" w:themeColor="text1"/>
          <w:sz w:val="24"/>
        </w:rPr>
        <w:t>等根据有关法律法规、《基金合同》及相应协议的规</w:t>
      </w:r>
      <w:r w:rsidRPr="008958AB">
        <w:rPr>
          <w:rFonts w:ascii="宋体" w:hAnsi="宋体" w:cs="Arial" w:hint="eastAsia"/>
          <w:color w:val="000000" w:themeColor="text1"/>
          <w:sz w:val="24"/>
        </w:rPr>
        <w:lastRenderedPageBreak/>
        <w:t>定，列入当期基金费用。</w:t>
      </w:r>
    </w:p>
    <w:p w14:paraId="689A940C"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（五）不列入基金费用的项目</w:t>
      </w:r>
    </w:p>
    <w:p w14:paraId="0D2E6CE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《基金合同》生效前的相关费用；基金管理人和基金托管人因未履行或未完全履行义务导致的费用支出或基金财产的损失，</w:t>
      </w:r>
      <w:r w:rsidRPr="008958AB">
        <w:rPr>
          <w:rFonts w:hint="eastAsia"/>
          <w:bCs/>
          <w:color w:val="000000" w:themeColor="text1"/>
          <w:sz w:val="24"/>
        </w:rPr>
        <w:t>基金管理人和基金托管人</w:t>
      </w:r>
      <w:r w:rsidRPr="008958AB">
        <w:rPr>
          <w:rFonts w:ascii="宋体" w:hAnsi="宋体" w:cs="Arial" w:hint="eastAsia"/>
          <w:color w:val="000000" w:themeColor="text1"/>
          <w:sz w:val="24"/>
        </w:rPr>
        <w:t>处理与基金运作无关的事项发生的费用以及其他根据相关法律法规及中国证监会的有关规定不得列入基金费用的项目等不列入基金费用。</w:t>
      </w:r>
    </w:p>
    <w:p w14:paraId="4914738B"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（六）基金管理费和基金托管费和销售服务费的调整</w:t>
      </w:r>
    </w:p>
    <w:p w14:paraId="30A179FB"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管理人和基金托管人可协商酌情降低基金管理费和基金托管费和销售服务费，参照《基金合同》约定执行。基金管理人应当依照《信息披露办法》的有关规定编制临时报告书，并登载在规定报刊和规定网站上。</w:t>
      </w:r>
    </w:p>
    <w:p w14:paraId="3DD16DE5"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（七）基金管理费、基金托管费和C类基金份额的销售服务费的复核程序、支付方式和时间</w:t>
      </w:r>
    </w:p>
    <w:p w14:paraId="2671D09F"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1.复核程序</w:t>
      </w:r>
    </w:p>
    <w:p w14:paraId="775D22D9"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基金托管人对基金管理人计提的基金管理费、基金托管费和C类基金份额的销售服务费等，根据本托管协议和《基金合同》的有关规定进行复核。</w:t>
      </w:r>
    </w:p>
    <w:p w14:paraId="4B0EDCC9"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2.支付方式和时间</w:t>
      </w:r>
    </w:p>
    <w:p w14:paraId="1438F1E6"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基金管理费、基金托管费和C类基金份额的销售服务费每日计提，逐日累计至每月月末，按月支付。由基金托管人根据与基金管理人核对一致的财务数据，自动在月初</w:t>
      </w:r>
      <w:r w:rsidRPr="008958AB">
        <w:rPr>
          <w:rFonts w:ascii="宋体" w:hAnsi="宋体" w:cs="Arial"/>
          <w:color w:val="000000" w:themeColor="text1"/>
          <w:sz w:val="24"/>
        </w:rPr>
        <w:t>5</w:t>
      </w:r>
      <w:proofErr w:type="gramStart"/>
      <w:r w:rsidRPr="008958AB">
        <w:rPr>
          <w:rFonts w:ascii="宋体" w:hAnsi="宋体" w:cs="Arial" w:hint="eastAsia"/>
          <w:color w:val="000000" w:themeColor="text1"/>
          <w:sz w:val="24"/>
        </w:rPr>
        <w:t>个</w:t>
      </w:r>
      <w:proofErr w:type="gramEnd"/>
      <w:r w:rsidRPr="008958AB">
        <w:rPr>
          <w:rFonts w:ascii="宋体" w:hAnsi="宋体" w:cs="Arial" w:hint="eastAsia"/>
          <w:color w:val="000000" w:themeColor="text1"/>
          <w:sz w:val="24"/>
        </w:rPr>
        <w:t>工作日内、按照指定的账户路径进行资金支付，基金管理人无需再出具资金划拨指令。</w:t>
      </w:r>
      <w:r w:rsidRPr="008958AB">
        <w:rPr>
          <w:rFonts w:ascii="宋体" w:hAnsi="宋体" w:cs="Arial"/>
          <w:color w:val="000000" w:themeColor="text1"/>
          <w:sz w:val="24"/>
        </w:rPr>
        <w:t>若遇法定节假日、</w:t>
      </w:r>
      <w:r w:rsidRPr="008958AB">
        <w:rPr>
          <w:rFonts w:ascii="宋体" w:hAnsi="宋体" w:cs="Arial" w:hint="eastAsia"/>
          <w:color w:val="000000" w:themeColor="text1"/>
          <w:sz w:val="24"/>
        </w:rPr>
        <w:t>公休日或不可抗力等，支付日期顺延。费用自动扣划后，基金管理人应进行核对，如发现数据不符，及时联系基金托管人协商解决。</w:t>
      </w:r>
    </w:p>
    <w:p w14:paraId="67A4C71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在首期支付基金管理费、</w:t>
      </w:r>
      <w:r w:rsidRPr="008958AB">
        <w:rPr>
          <w:rFonts w:ascii="宋体" w:hAnsi="宋体" w:cs="Arial" w:hint="eastAsia"/>
          <w:bCs/>
          <w:color w:val="000000" w:themeColor="text1"/>
          <w:sz w:val="24"/>
        </w:rPr>
        <w:t>C类基金份额的</w:t>
      </w:r>
      <w:r w:rsidRPr="008958AB">
        <w:rPr>
          <w:rFonts w:ascii="宋体" w:hAnsi="宋体" w:cs="Arial" w:hint="eastAsia"/>
          <w:color w:val="000000" w:themeColor="text1"/>
          <w:sz w:val="24"/>
        </w:rPr>
        <w:t>销售服务费前，基金管理人应向基金托管人出具正式函件指定基金管理费、</w:t>
      </w:r>
      <w:r w:rsidRPr="008958AB">
        <w:rPr>
          <w:rFonts w:ascii="宋体" w:hAnsi="宋体" w:cs="Arial" w:hint="eastAsia"/>
          <w:bCs/>
          <w:color w:val="000000" w:themeColor="text1"/>
          <w:sz w:val="24"/>
        </w:rPr>
        <w:t>C类基金份额的</w:t>
      </w:r>
      <w:r w:rsidRPr="008958AB">
        <w:rPr>
          <w:rFonts w:ascii="宋体" w:hAnsi="宋体" w:cs="Arial" w:hint="eastAsia"/>
          <w:color w:val="000000" w:themeColor="text1"/>
          <w:sz w:val="24"/>
        </w:rPr>
        <w:t>销售服务费的收款账户。基金管理人如需要</w:t>
      </w:r>
      <w:proofErr w:type="gramStart"/>
      <w:r w:rsidRPr="008958AB">
        <w:rPr>
          <w:rFonts w:ascii="宋体" w:hAnsi="宋体" w:cs="Arial" w:hint="eastAsia"/>
          <w:color w:val="000000" w:themeColor="text1"/>
          <w:sz w:val="24"/>
        </w:rPr>
        <w:t>变更此</w:t>
      </w:r>
      <w:proofErr w:type="gramEnd"/>
      <w:r w:rsidRPr="008958AB">
        <w:rPr>
          <w:rFonts w:ascii="宋体" w:hAnsi="宋体" w:cs="Arial" w:hint="eastAsia"/>
          <w:color w:val="000000" w:themeColor="text1"/>
          <w:sz w:val="24"/>
        </w:rPr>
        <w:t>账户，应提前</w:t>
      </w:r>
      <w:r w:rsidRPr="008958AB">
        <w:rPr>
          <w:rFonts w:ascii="宋体" w:hAnsi="宋体" w:cs="Arial"/>
          <w:color w:val="000000" w:themeColor="text1"/>
          <w:sz w:val="24"/>
        </w:rPr>
        <w:t>5个工作日向</w:t>
      </w:r>
      <w:r w:rsidRPr="008958AB">
        <w:rPr>
          <w:rFonts w:ascii="宋体" w:hAnsi="宋体" w:cs="Arial" w:hint="eastAsia"/>
          <w:color w:val="000000" w:themeColor="text1"/>
          <w:sz w:val="24"/>
        </w:rPr>
        <w:t>基金托管人出具书面的收款账户变更通知。</w:t>
      </w:r>
    </w:p>
    <w:p w14:paraId="3776A29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（八）违规处理方式</w:t>
      </w:r>
    </w:p>
    <w:p w14:paraId="5D48172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托管人发现基金管理人违反《基金法》、《基金合同》、《运作办法》及其他有关规定从基金财产中列支费用时，基金托管人可要求基金管理人予以说明解释，如基金管理人无正当理由，基金托管人可拒绝支付，但应及时通知基金管理</w:t>
      </w:r>
      <w:r w:rsidRPr="008958AB">
        <w:rPr>
          <w:rFonts w:ascii="宋体" w:hAnsi="宋体" w:cs="Arial" w:hint="eastAsia"/>
          <w:color w:val="000000" w:themeColor="text1"/>
          <w:sz w:val="24"/>
        </w:rPr>
        <w:lastRenderedPageBreak/>
        <w:t>人。</w:t>
      </w:r>
    </w:p>
    <w:p w14:paraId="31AE0C8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（九）实施</w:t>
      </w:r>
      <w:proofErr w:type="gramStart"/>
      <w:r w:rsidRPr="008958AB">
        <w:rPr>
          <w:rFonts w:ascii="宋体" w:hAnsi="宋体" w:cs="Arial" w:hint="eastAsia"/>
          <w:color w:val="000000" w:themeColor="text1"/>
          <w:sz w:val="24"/>
        </w:rPr>
        <w:t>侧袋机制</w:t>
      </w:r>
      <w:proofErr w:type="gramEnd"/>
      <w:r w:rsidRPr="008958AB">
        <w:rPr>
          <w:rFonts w:ascii="宋体" w:hAnsi="宋体" w:cs="Arial" w:hint="eastAsia"/>
          <w:color w:val="000000" w:themeColor="text1"/>
          <w:sz w:val="24"/>
        </w:rPr>
        <w:t>期间的基金费用</w:t>
      </w:r>
    </w:p>
    <w:p w14:paraId="7D22DE6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本基金实施</w:t>
      </w:r>
      <w:proofErr w:type="gramStart"/>
      <w:r w:rsidRPr="008958AB">
        <w:rPr>
          <w:rFonts w:ascii="宋体" w:hAnsi="宋体" w:cs="Arial" w:hint="eastAsia"/>
          <w:color w:val="000000" w:themeColor="text1"/>
          <w:sz w:val="24"/>
        </w:rPr>
        <w:t>侧袋机制</w:t>
      </w:r>
      <w:proofErr w:type="gramEnd"/>
      <w:r w:rsidRPr="008958AB">
        <w:rPr>
          <w:rFonts w:ascii="宋体" w:hAnsi="宋体" w:cs="Arial" w:hint="eastAsia"/>
          <w:color w:val="000000" w:themeColor="text1"/>
          <w:sz w:val="24"/>
        </w:rPr>
        <w:t>的，</w:t>
      </w:r>
      <w:proofErr w:type="gramStart"/>
      <w:r w:rsidRPr="008958AB">
        <w:rPr>
          <w:rFonts w:ascii="宋体" w:hAnsi="宋体" w:cs="Arial" w:hint="eastAsia"/>
          <w:color w:val="000000" w:themeColor="text1"/>
          <w:sz w:val="24"/>
        </w:rPr>
        <w:t>与侧袋账户</w:t>
      </w:r>
      <w:proofErr w:type="gramEnd"/>
      <w:r w:rsidRPr="008958AB">
        <w:rPr>
          <w:rFonts w:ascii="宋体" w:hAnsi="宋体" w:cs="Arial" w:hint="eastAsia"/>
          <w:color w:val="000000" w:themeColor="text1"/>
          <w:sz w:val="24"/>
        </w:rPr>
        <w:t>有关的费用可以</w:t>
      </w:r>
      <w:proofErr w:type="gramStart"/>
      <w:r w:rsidRPr="008958AB">
        <w:rPr>
          <w:rFonts w:ascii="宋体" w:hAnsi="宋体" w:cs="Arial" w:hint="eastAsia"/>
          <w:color w:val="000000" w:themeColor="text1"/>
          <w:sz w:val="24"/>
        </w:rPr>
        <w:t>从侧袋账户</w:t>
      </w:r>
      <w:proofErr w:type="gramEnd"/>
      <w:r w:rsidRPr="008958AB">
        <w:rPr>
          <w:rFonts w:ascii="宋体" w:hAnsi="宋体" w:cs="Arial" w:hint="eastAsia"/>
          <w:color w:val="000000" w:themeColor="text1"/>
          <w:sz w:val="24"/>
        </w:rPr>
        <w:t>中列支，但应</w:t>
      </w:r>
      <w:proofErr w:type="gramStart"/>
      <w:r w:rsidRPr="008958AB">
        <w:rPr>
          <w:rFonts w:ascii="宋体" w:hAnsi="宋体" w:cs="Arial" w:hint="eastAsia"/>
          <w:color w:val="000000" w:themeColor="text1"/>
          <w:sz w:val="24"/>
        </w:rPr>
        <w:t>待侧袋</w:t>
      </w:r>
      <w:proofErr w:type="gramEnd"/>
      <w:r w:rsidRPr="008958AB">
        <w:rPr>
          <w:rFonts w:ascii="宋体" w:hAnsi="宋体" w:cs="Arial" w:hint="eastAsia"/>
          <w:color w:val="000000" w:themeColor="text1"/>
          <w:sz w:val="24"/>
        </w:rPr>
        <w:t>账户资产变现后方可列支，有关费用可酌情收取或减免，但不得收取管理费，详见招募说明书或相关公告的规定。</w:t>
      </w:r>
    </w:p>
    <w:p w14:paraId="3DBABC9B" w14:textId="77777777" w:rsidR="00B438AF" w:rsidRPr="008958AB" w:rsidRDefault="006C47E3">
      <w:pPr>
        <w:pStyle w:val="2"/>
        <w:spacing w:line="360" w:lineRule="auto"/>
        <w:jc w:val="center"/>
        <w:rPr>
          <w:rFonts w:ascii="宋体" w:eastAsia="宋体" w:hAnsi="宋体"/>
          <w:color w:val="000000" w:themeColor="text1"/>
          <w:sz w:val="30"/>
        </w:rPr>
      </w:pPr>
      <w:bookmarkStart w:id="89" w:name="_Toc124325896"/>
      <w:r w:rsidRPr="008958AB">
        <w:rPr>
          <w:rFonts w:ascii="宋体" w:eastAsia="宋体" w:hAnsi="宋体" w:hint="eastAsia"/>
          <w:color w:val="000000" w:themeColor="text1"/>
          <w:sz w:val="30"/>
        </w:rPr>
        <w:t>十二、基金份额持有人名册的保管</w:t>
      </w:r>
      <w:bookmarkEnd w:id="89"/>
    </w:p>
    <w:p w14:paraId="3FE2602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低于法律法规规定的最低期限。如不能妥善保管，则按相关法规承担责任。</w:t>
      </w:r>
    </w:p>
    <w:p w14:paraId="6A8F637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在基金托管人要求或编制中期报告和年度报告前，基金管理人应将有关资料送交基金托管人，不得无故拒绝或延误提供，并保证其真实性、准确性和完整性。</w:t>
      </w:r>
      <w:r w:rsidRPr="008958AB">
        <w:rPr>
          <w:rFonts w:ascii="宋体" w:hAnsi="宋体" w:hint="eastAsia"/>
          <w:color w:val="000000" w:themeColor="text1"/>
          <w:kern w:val="0"/>
          <w:sz w:val="24"/>
        </w:rPr>
        <w:t>基金托管人不得将所保管的基金份额持有人名册用于基金托管业务以外的其他用途，并应遵守保密义务，法律法规或监管部门另有规定的除外。</w:t>
      </w:r>
    </w:p>
    <w:p w14:paraId="19E818B6" w14:textId="77777777" w:rsidR="00B438AF" w:rsidRPr="008958AB" w:rsidRDefault="00B438AF">
      <w:pPr>
        <w:adjustRightInd w:val="0"/>
        <w:snapToGrid w:val="0"/>
        <w:spacing w:line="360" w:lineRule="auto"/>
        <w:rPr>
          <w:rFonts w:ascii="宋体" w:hAnsi="宋体" w:cs="Arial"/>
          <w:color w:val="000000" w:themeColor="text1"/>
          <w:sz w:val="24"/>
        </w:rPr>
      </w:pPr>
    </w:p>
    <w:p w14:paraId="7808CC57" w14:textId="77777777" w:rsidR="00B438AF" w:rsidRPr="008958AB" w:rsidRDefault="006C47E3">
      <w:pPr>
        <w:pStyle w:val="2"/>
        <w:spacing w:line="360" w:lineRule="auto"/>
        <w:jc w:val="center"/>
        <w:rPr>
          <w:rFonts w:ascii="宋体" w:eastAsia="宋体" w:hAnsi="宋体"/>
          <w:color w:val="000000" w:themeColor="text1"/>
          <w:sz w:val="30"/>
        </w:rPr>
      </w:pPr>
      <w:bookmarkStart w:id="90" w:name="_Toc124325897"/>
      <w:r w:rsidRPr="008958AB">
        <w:rPr>
          <w:rFonts w:ascii="宋体" w:eastAsia="宋体" w:hAnsi="宋体" w:hint="eastAsia"/>
          <w:color w:val="000000" w:themeColor="text1"/>
          <w:sz w:val="30"/>
        </w:rPr>
        <w:t>十三、基金有关文件档案的保存</w:t>
      </w:r>
      <w:bookmarkEnd w:id="90"/>
    </w:p>
    <w:p w14:paraId="049417BA"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（一）档案保存</w:t>
      </w:r>
    </w:p>
    <w:p w14:paraId="405EE042"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12CE2BD5"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（二）合同档案的建立</w:t>
      </w:r>
    </w:p>
    <w:p w14:paraId="0A74346B"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1.基金管理人签署重大合同文本后，应及时将合同文本正本送达基金托管人处。</w:t>
      </w:r>
    </w:p>
    <w:p w14:paraId="270B9C87"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2.基金管理人应及时将与本基金账务处理、资金划拨等有关的合同、协议传真基金托管人。</w:t>
      </w:r>
    </w:p>
    <w:p w14:paraId="0380AE9A"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（三）变更与协助</w:t>
      </w:r>
    </w:p>
    <w:p w14:paraId="7AB70F53" w14:textId="77777777" w:rsidR="00B438AF" w:rsidRPr="008958AB" w:rsidRDefault="006C47E3">
      <w:pPr>
        <w:adjustRightInd w:val="0"/>
        <w:snapToGrid w:val="0"/>
        <w:spacing w:line="360" w:lineRule="auto"/>
        <w:ind w:firstLineChars="200" w:firstLine="480"/>
        <w:rPr>
          <w:rFonts w:ascii="宋体" w:hAnsi="宋体"/>
          <w:b/>
          <w:bCs/>
          <w:color w:val="000000" w:themeColor="text1"/>
          <w:sz w:val="30"/>
          <w:szCs w:val="30"/>
        </w:rPr>
      </w:pPr>
      <w:proofErr w:type="gramStart"/>
      <w:r w:rsidRPr="008958AB">
        <w:rPr>
          <w:rFonts w:ascii="宋体" w:hAnsi="宋体" w:cs="Arial" w:hint="eastAsia"/>
          <w:color w:val="000000" w:themeColor="text1"/>
          <w:sz w:val="24"/>
        </w:rPr>
        <w:lastRenderedPageBreak/>
        <w:t>若基金</w:t>
      </w:r>
      <w:proofErr w:type="gramEnd"/>
      <w:r w:rsidRPr="008958AB">
        <w:rPr>
          <w:rFonts w:ascii="宋体" w:hAnsi="宋体" w:cs="Arial" w:hint="eastAsia"/>
          <w:color w:val="000000" w:themeColor="text1"/>
          <w:sz w:val="24"/>
        </w:rPr>
        <w:t>管理人/基金托管人发生变更，未变更的一方有义务协助变更后的接任人接收相应文件。</w:t>
      </w:r>
    </w:p>
    <w:p w14:paraId="5BD3EAF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（四）基金管理人和基金托管人应按各自职责完整保存原始凭证、记账凭证、基金账册、交易记录和重要合同等，承担保密义务并保存不低于法律法规规定的最低期限。</w:t>
      </w:r>
    </w:p>
    <w:p w14:paraId="6BEB1E9D" w14:textId="77777777" w:rsidR="00B438AF" w:rsidRPr="008958AB" w:rsidRDefault="006C47E3">
      <w:pPr>
        <w:pStyle w:val="2"/>
        <w:spacing w:line="360" w:lineRule="auto"/>
        <w:jc w:val="center"/>
        <w:rPr>
          <w:rFonts w:ascii="宋体" w:eastAsia="宋体" w:hAnsi="宋体"/>
          <w:color w:val="000000" w:themeColor="text1"/>
          <w:sz w:val="30"/>
        </w:rPr>
      </w:pPr>
      <w:bookmarkStart w:id="91" w:name="_Toc124325898"/>
      <w:r w:rsidRPr="008958AB">
        <w:rPr>
          <w:rFonts w:ascii="宋体" w:eastAsia="宋体" w:hAnsi="宋体" w:hint="eastAsia"/>
          <w:color w:val="000000" w:themeColor="text1"/>
          <w:sz w:val="30"/>
        </w:rPr>
        <w:t>十四、基金管理人和基金托管人的更换</w:t>
      </w:r>
      <w:bookmarkEnd w:id="91"/>
    </w:p>
    <w:p w14:paraId="36024F0B"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（一）基金管理人职责终止的情形</w:t>
      </w:r>
    </w:p>
    <w:p w14:paraId="119F22F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1.基金管理人职责终止的情形</w:t>
      </w:r>
    </w:p>
    <w:p w14:paraId="210CA8D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有下列情形之一的，基金管理人职责终止：</w:t>
      </w:r>
    </w:p>
    <w:p w14:paraId="7DB5C41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(1)被依法取消基金管理资格；</w:t>
      </w:r>
    </w:p>
    <w:p w14:paraId="412FFECB"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color w:val="000000" w:themeColor="text1"/>
          <w:sz w:val="24"/>
        </w:rPr>
        <w:t xml:space="preserve">(2)被基金份额持有人大会解任； </w:t>
      </w:r>
    </w:p>
    <w:p w14:paraId="694E8F2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color w:val="000000" w:themeColor="text1"/>
          <w:sz w:val="24"/>
        </w:rPr>
        <w:t>(3)依法解散、被依法撤销或被依法宣告破产；</w:t>
      </w:r>
    </w:p>
    <w:p w14:paraId="05D7C4F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(4)法律法规及中国证监会规定的和《基金合同》约定的其他情形。</w:t>
      </w:r>
    </w:p>
    <w:p w14:paraId="41ABBE6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2.基金管理人的更换程序</w:t>
      </w:r>
    </w:p>
    <w:p w14:paraId="74B42F4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更换基金管理人必须依照如下程序进行：</w:t>
      </w:r>
    </w:p>
    <w:p w14:paraId="3F85FFD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(1)提名：</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管理人由基金托管人</w:t>
      </w:r>
      <w:r w:rsidRPr="008958AB">
        <w:rPr>
          <w:rFonts w:ascii="宋体" w:hAnsi="宋体" w:hint="eastAsia"/>
          <w:color w:val="000000" w:themeColor="text1"/>
          <w:sz w:val="24"/>
        </w:rPr>
        <w:t>或由单独或合计持有10%以上(含10%）基金份额的基金份额持有人</w:t>
      </w:r>
      <w:r w:rsidRPr="008958AB">
        <w:rPr>
          <w:rFonts w:ascii="宋体" w:hAnsi="宋体" w:cs="Arial" w:hint="eastAsia"/>
          <w:color w:val="000000" w:themeColor="text1"/>
          <w:sz w:val="24"/>
        </w:rPr>
        <w:t>提名；</w:t>
      </w:r>
    </w:p>
    <w:p w14:paraId="12B5E27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66BD712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(3)临时基金管理人：</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管理人产生之前，由中国证监会指定临时基金管理人；</w:t>
      </w:r>
    </w:p>
    <w:p w14:paraId="0CABC0EA"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(4)备案：基金份额持有人大会更换基金管理人的决议须报中国证监会备案；</w:t>
      </w:r>
    </w:p>
    <w:p w14:paraId="3414844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(5)公告：基金管理人更换后，由基金托管人在更换基金管理人的基金份额持有人大会决议生效后按照《信息披露办法》的有关规定在规定媒介公告；</w:t>
      </w:r>
    </w:p>
    <w:p w14:paraId="1222BB1C"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(6)交接：基金管理人职责终止的，基金管理人应妥善保管基金管理业务资料，及时向临时基金管理人或</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管理人办理基金管理业务的移交手续，临时基金管理人或</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管理人应及时接收。临时基金管理人或</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管理人应与</w:t>
      </w:r>
      <w:r w:rsidRPr="008958AB">
        <w:rPr>
          <w:rFonts w:ascii="宋体" w:hAnsi="宋体" w:cs="Arial" w:hint="eastAsia"/>
          <w:color w:val="000000" w:themeColor="text1"/>
          <w:sz w:val="24"/>
        </w:rPr>
        <w:lastRenderedPageBreak/>
        <w:t>基金托管人核对</w:t>
      </w:r>
      <w:r w:rsidRPr="008958AB">
        <w:rPr>
          <w:rFonts w:ascii="宋体" w:hAnsi="宋体" w:cs="Arial"/>
          <w:color w:val="000000" w:themeColor="text1"/>
          <w:sz w:val="24"/>
        </w:rPr>
        <w:t>基金资产总值</w:t>
      </w:r>
      <w:r w:rsidRPr="008958AB">
        <w:rPr>
          <w:rFonts w:ascii="宋体" w:hAnsi="宋体" w:cs="Arial" w:hint="eastAsia"/>
          <w:color w:val="000000" w:themeColor="text1"/>
          <w:sz w:val="24"/>
        </w:rPr>
        <w:t>和基金资产净值；</w:t>
      </w:r>
    </w:p>
    <w:p w14:paraId="5970E08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(7)审计：基金管理人职责终止的，应当按照法律法规规定聘请会计师事务所对基金财产进行审计，并将审计结果予以公告，同时报中国证监会备案，审计费用在基金财产中列支；</w:t>
      </w:r>
    </w:p>
    <w:p w14:paraId="5A63C16A" w14:textId="77777777" w:rsidR="00B438AF" w:rsidRPr="008958AB" w:rsidRDefault="006C47E3">
      <w:pPr>
        <w:adjustRightInd w:val="0"/>
        <w:snapToGrid w:val="0"/>
        <w:spacing w:line="360" w:lineRule="auto"/>
        <w:ind w:firstLineChars="200" w:firstLine="480"/>
        <w:rPr>
          <w:rFonts w:ascii="宋体" w:hAnsi="宋体"/>
          <w:color w:val="000000" w:themeColor="text1"/>
          <w:sz w:val="30"/>
          <w:szCs w:val="30"/>
        </w:rPr>
      </w:pPr>
      <w:r w:rsidRPr="008958AB">
        <w:rPr>
          <w:rFonts w:ascii="宋体" w:hAnsi="宋体" w:cs="Arial" w:hint="eastAsia"/>
          <w:color w:val="000000" w:themeColor="text1"/>
          <w:sz w:val="24"/>
        </w:rPr>
        <w:t>(8)基金名称变更：基金管理人更换后，如果原任或</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管理人要求，应按其要求替换或删除基金名称中与</w:t>
      </w:r>
      <w:proofErr w:type="gramStart"/>
      <w:r w:rsidRPr="008958AB">
        <w:rPr>
          <w:rFonts w:ascii="宋体" w:hAnsi="宋体" w:cs="Arial" w:hint="eastAsia"/>
          <w:color w:val="000000" w:themeColor="text1"/>
          <w:sz w:val="24"/>
        </w:rPr>
        <w:t>原基金</w:t>
      </w:r>
      <w:proofErr w:type="gramEnd"/>
      <w:r w:rsidRPr="008958AB">
        <w:rPr>
          <w:rFonts w:ascii="宋体" w:hAnsi="宋体" w:cs="Arial" w:hint="eastAsia"/>
          <w:color w:val="000000" w:themeColor="text1"/>
          <w:sz w:val="24"/>
        </w:rPr>
        <w:t>管理人有关的名称字样。</w:t>
      </w:r>
    </w:p>
    <w:p w14:paraId="3FFFD5D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（二）基金托管人职责终止的情形</w:t>
      </w:r>
    </w:p>
    <w:p w14:paraId="54BAE31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1.基金托管人职责终止的情形</w:t>
      </w:r>
    </w:p>
    <w:p w14:paraId="20A677E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有下列情形之一的，基金托管人职责终止：</w:t>
      </w:r>
    </w:p>
    <w:p w14:paraId="2D5248C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(1)被依法取消基金托管资格；</w:t>
      </w:r>
    </w:p>
    <w:p w14:paraId="48C0050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color w:val="000000" w:themeColor="text1"/>
          <w:sz w:val="24"/>
        </w:rPr>
        <w:t xml:space="preserve">(2)被基金份额持有人大会解任； </w:t>
      </w:r>
    </w:p>
    <w:p w14:paraId="098D3FC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color w:val="000000" w:themeColor="text1"/>
          <w:sz w:val="24"/>
        </w:rPr>
        <w:t>(3)依法解散、被依法撤销或被依法宣告破产；</w:t>
      </w:r>
    </w:p>
    <w:p w14:paraId="0AD54AA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(4)法律法规及中国证监会规定的和《基金合同》约定的其他情形。</w:t>
      </w:r>
    </w:p>
    <w:p w14:paraId="339EB95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2.基金托管人的更换程序</w:t>
      </w:r>
    </w:p>
    <w:p w14:paraId="6B385CE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(1)提名：</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托管人由基金管理人</w:t>
      </w:r>
      <w:r w:rsidRPr="008958AB">
        <w:rPr>
          <w:rFonts w:ascii="宋体" w:hAnsi="宋体" w:hint="eastAsia"/>
          <w:color w:val="000000" w:themeColor="text1"/>
          <w:sz w:val="24"/>
        </w:rPr>
        <w:t>或由单独或合计持有10%以上(含10%）基金份额的基金份额持有人</w:t>
      </w:r>
      <w:r w:rsidRPr="008958AB">
        <w:rPr>
          <w:rFonts w:ascii="宋体" w:hAnsi="宋体" w:cs="Arial" w:hint="eastAsia"/>
          <w:color w:val="000000" w:themeColor="text1"/>
          <w:sz w:val="24"/>
        </w:rPr>
        <w:t>提名；</w:t>
      </w:r>
    </w:p>
    <w:p w14:paraId="6C50C2C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14D942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(3)临时基金托管人：</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托管人产生之前，由中国证监会指定临时基金托管人；</w:t>
      </w:r>
    </w:p>
    <w:p w14:paraId="48387A3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(4)备案：基金份额持有人大会更换基金托管人的决议须报中国证监会备案；</w:t>
      </w:r>
    </w:p>
    <w:p w14:paraId="39B6AF0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(5)公告：基金托管人更换后，由基金管理人在更换基金托管人的基金份额持有人大会决议生效后按照《信息披露办法》的有关规定在规定媒介公告；</w:t>
      </w:r>
    </w:p>
    <w:p w14:paraId="3064BDB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(6)交接：基金托管人职责终止的，应当妥善保管基金财产和基金托管业务资料，及时办理基金财产和基金托管业务的移交手续，</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托管人或者临时基金托管人应当及时接收。</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托管人或临时基金托管人与基金管理人核对基金</w:t>
      </w:r>
      <w:r w:rsidRPr="008958AB">
        <w:rPr>
          <w:rFonts w:ascii="宋体" w:hAnsi="宋体" w:cs="Arial"/>
          <w:color w:val="000000" w:themeColor="text1"/>
          <w:sz w:val="24"/>
        </w:rPr>
        <w:t>资产总值</w:t>
      </w:r>
      <w:r w:rsidRPr="008958AB">
        <w:rPr>
          <w:rFonts w:ascii="宋体" w:hAnsi="宋体" w:cs="Arial" w:hint="eastAsia"/>
          <w:color w:val="000000" w:themeColor="text1"/>
          <w:sz w:val="24"/>
        </w:rPr>
        <w:t>和基金资产净值；</w:t>
      </w:r>
    </w:p>
    <w:p w14:paraId="23CDDA3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(7)审计：基金托管人职责终止的，应当按照法律法规规定聘请会计师事务所对基金财产进行审计，并将审计结果予以公告，同时报中国证监会备案，审计费用</w:t>
      </w:r>
      <w:r w:rsidRPr="008958AB">
        <w:rPr>
          <w:rFonts w:ascii="宋体" w:hAnsi="宋体" w:cs="Arial" w:hint="eastAsia"/>
          <w:color w:val="000000" w:themeColor="text1"/>
          <w:sz w:val="24"/>
        </w:rPr>
        <w:lastRenderedPageBreak/>
        <w:t>从基金财产中列支。</w:t>
      </w:r>
    </w:p>
    <w:p w14:paraId="2B3A0CB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（三）基金管理人与基金托管人同时更换的条件和程序</w:t>
      </w:r>
    </w:p>
    <w:p w14:paraId="6D065E9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1.提名：如果基金管理人和基金托管人同时更换，由单独或合计持有基金总份额10%以上(含10%）的基金份额持有人提名新的基金管理人和基金托管人；</w:t>
      </w:r>
    </w:p>
    <w:p w14:paraId="28676A6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2.基金管理人和基金托管人的更换分别按上述程序进行；</w:t>
      </w:r>
    </w:p>
    <w:p w14:paraId="22689C4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3.公告：</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管理人和</w:t>
      </w:r>
      <w:proofErr w:type="gramStart"/>
      <w:r w:rsidRPr="008958AB">
        <w:rPr>
          <w:rFonts w:ascii="宋体" w:hAnsi="宋体" w:cs="Arial" w:hint="eastAsia"/>
          <w:color w:val="000000" w:themeColor="text1"/>
          <w:sz w:val="24"/>
        </w:rPr>
        <w:t>新任基金</w:t>
      </w:r>
      <w:proofErr w:type="gramEnd"/>
      <w:r w:rsidRPr="008958AB">
        <w:rPr>
          <w:rFonts w:ascii="宋体" w:hAnsi="宋体" w:cs="Arial" w:hint="eastAsia"/>
          <w:color w:val="000000" w:themeColor="text1"/>
          <w:sz w:val="24"/>
        </w:rPr>
        <w:t>托管人应在更换基金管理人和基金托管人的基金份额持有人大会决议生效后按照《信息披露办法》的有关规定在规定媒介上联合公告。</w:t>
      </w:r>
    </w:p>
    <w:p w14:paraId="223EFFA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（四）</w:t>
      </w:r>
      <w:proofErr w:type="gramStart"/>
      <w:r w:rsidRPr="008958AB">
        <w:rPr>
          <w:rFonts w:hint="eastAsia"/>
          <w:bCs/>
          <w:color w:val="000000" w:themeColor="text1"/>
          <w:sz w:val="24"/>
        </w:rPr>
        <w:t>新任基金</w:t>
      </w:r>
      <w:proofErr w:type="gramEnd"/>
      <w:r w:rsidRPr="008958AB">
        <w:rPr>
          <w:rFonts w:hint="eastAsia"/>
          <w:bCs/>
          <w:color w:val="000000" w:themeColor="text1"/>
          <w:sz w:val="24"/>
        </w:rPr>
        <w:t>管理人或临时基金管理人接收基金管理业务，或</w:t>
      </w:r>
      <w:proofErr w:type="gramStart"/>
      <w:r w:rsidRPr="008958AB">
        <w:rPr>
          <w:rFonts w:hint="eastAsia"/>
          <w:bCs/>
          <w:color w:val="000000" w:themeColor="text1"/>
          <w:sz w:val="24"/>
        </w:rPr>
        <w:t>新任基金</w:t>
      </w:r>
      <w:proofErr w:type="gramEnd"/>
      <w:r w:rsidRPr="008958AB">
        <w:rPr>
          <w:rFonts w:hint="eastAsia"/>
          <w:bCs/>
          <w:color w:val="000000" w:themeColor="text1"/>
          <w:sz w:val="24"/>
        </w:rPr>
        <w:t>托管人或临时基金托管人接收基金财产和基金托管业务前，</w:t>
      </w:r>
      <w:proofErr w:type="gramStart"/>
      <w:r w:rsidRPr="008958AB">
        <w:rPr>
          <w:rFonts w:hint="eastAsia"/>
          <w:bCs/>
          <w:color w:val="000000" w:themeColor="text1"/>
          <w:sz w:val="24"/>
        </w:rPr>
        <w:t>原基金</w:t>
      </w:r>
      <w:proofErr w:type="gramEnd"/>
      <w:r w:rsidRPr="008958AB">
        <w:rPr>
          <w:rFonts w:hint="eastAsia"/>
          <w:bCs/>
          <w:color w:val="000000" w:themeColor="text1"/>
          <w:sz w:val="24"/>
        </w:rPr>
        <w:t>管理人或</w:t>
      </w:r>
      <w:proofErr w:type="gramStart"/>
      <w:r w:rsidRPr="008958AB">
        <w:rPr>
          <w:rFonts w:hint="eastAsia"/>
          <w:bCs/>
          <w:color w:val="000000" w:themeColor="text1"/>
          <w:sz w:val="24"/>
        </w:rPr>
        <w:t>原基金</w:t>
      </w:r>
      <w:proofErr w:type="gramEnd"/>
      <w:r w:rsidRPr="008958AB">
        <w:rPr>
          <w:rFonts w:hint="eastAsia"/>
          <w:bCs/>
          <w:color w:val="000000" w:themeColor="text1"/>
          <w:sz w:val="24"/>
        </w:rPr>
        <w:t>托管人应继续履行相关职责，并保证不做出对基金份额持有人的利益造成损害的行为。</w:t>
      </w:r>
      <w:proofErr w:type="gramStart"/>
      <w:r w:rsidRPr="008958AB">
        <w:rPr>
          <w:rFonts w:hint="eastAsia"/>
          <w:bCs/>
          <w:color w:val="000000" w:themeColor="text1"/>
          <w:sz w:val="24"/>
        </w:rPr>
        <w:t>原基金</w:t>
      </w:r>
      <w:proofErr w:type="gramEnd"/>
      <w:r w:rsidRPr="008958AB">
        <w:rPr>
          <w:rFonts w:hint="eastAsia"/>
          <w:bCs/>
          <w:color w:val="000000" w:themeColor="text1"/>
          <w:sz w:val="24"/>
        </w:rPr>
        <w:t>管理人或</w:t>
      </w:r>
      <w:proofErr w:type="gramStart"/>
      <w:r w:rsidRPr="008958AB">
        <w:rPr>
          <w:rFonts w:hint="eastAsia"/>
          <w:bCs/>
          <w:color w:val="000000" w:themeColor="text1"/>
          <w:sz w:val="24"/>
        </w:rPr>
        <w:t>原基金</w:t>
      </w:r>
      <w:proofErr w:type="gramEnd"/>
      <w:r w:rsidRPr="008958AB">
        <w:rPr>
          <w:rFonts w:hint="eastAsia"/>
          <w:bCs/>
          <w:color w:val="000000" w:themeColor="text1"/>
          <w:sz w:val="24"/>
        </w:rPr>
        <w:t>托管人在继续履行相关职责期间，仍有权按照《基金合同》的规定收取基金管理费、基金托管费。</w:t>
      </w:r>
    </w:p>
    <w:p w14:paraId="65E21FDA"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（五）本部</w:t>
      </w:r>
      <w:proofErr w:type="gramStart"/>
      <w:r w:rsidRPr="008958AB">
        <w:rPr>
          <w:rFonts w:ascii="宋体" w:hAnsi="宋体" w:cs="Arial" w:hint="eastAsia"/>
          <w:color w:val="000000" w:themeColor="text1"/>
          <w:sz w:val="24"/>
        </w:rPr>
        <w:t>分关于</w:t>
      </w:r>
      <w:proofErr w:type="gramEnd"/>
      <w:r w:rsidRPr="008958AB">
        <w:rPr>
          <w:rFonts w:ascii="宋体" w:hAnsi="宋体" w:cs="Arial" w:hint="eastAsia"/>
          <w:color w:val="000000" w:themeColor="text1"/>
          <w:sz w:val="24"/>
        </w:rPr>
        <w:t>基金管理人、基金托管人更换条件和程序的约定，凡是直接引用法律法规或监管规则的部分，如将来法律法规或监管规则修改导致相关内容被取消或变更的，基金管理人与基金托管人协商一致并提前公告，经履行适当的程序后，可直接对相应内容进行修改和调整，无需召开基金份额持有人大会审议。</w:t>
      </w:r>
    </w:p>
    <w:p w14:paraId="2EECCFE7" w14:textId="77777777" w:rsidR="00B438AF" w:rsidRPr="008958AB" w:rsidRDefault="00B438AF">
      <w:pPr>
        <w:adjustRightInd w:val="0"/>
        <w:snapToGrid w:val="0"/>
        <w:spacing w:line="360" w:lineRule="auto"/>
        <w:rPr>
          <w:rFonts w:ascii="宋体" w:hAnsi="宋体" w:cs="Arial"/>
          <w:color w:val="000000" w:themeColor="text1"/>
          <w:sz w:val="24"/>
        </w:rPr>
      </w:pPr>
    </w:p>
    <w:p w14:paraId="4DF0A55D" w14:textId="77777777" w:rsidR="00B438AF" w:rsidRPr="008958AB" w:rsidRDefault="006C47E3">
      <w:pPr>
        <w:pStyle w:val="2"/>
        <w:spacing w:line="360" w:lineRule="auto"/>
        <w:jc w:val="center"/>
        <w:rPr>
          <w:rFonts w:ascii="宋体" w:eastAsia="宋体" w:hAnsi="宋体"/>
          <w:color w:val="000000" w:themeColor="text1"/>
          <w:sz w:val="30"/>
        </w:rPr>
      </w:pPr>
      <w:bookmarkStart w:id="92" w:name="_Toc124325899"/>
      <w:r w:rsidRPr="008958AB">
        <w:rPr>
          <w:rFonts w:ascii="宋体" w:eastAsia="宋体" w:hAnsi="宋体" w:hint="eastAsia"/>
          <w:color w:val="000000" w:themeColor="text1"/>
          <w:sz w:val="30"/>
        </w:rPr>
        <w:t>十五、禁止行为</w:t>
      </w:r>
      <w:bookmarkEnd w:id="92"/>
    </w:p>
    <w:p w14:paraId="2404AF76"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本协议当事人禁止从事的行为，包括但不限于：</w:t>
      </w:r>
    </w:p>
    <w:p w14:paraId="62CC1111" w14:textId="77777777" w:rsidR="00B438AF" w:rsidRPr="008958AB" w:rsidRDefault="006C47E3">
      <w:pPr>
        <w:spacing w:line="360" w:lineRule="auto"/>
        <w:ind w:firstLineChars="200" w:firstLine="480"/>
        <w:rPr>
          <w:rFonts w:ascii="宋体" w:hAnsi="宋体"/>
          <w:color w:val="000000" w:themeColor="text1"/>
          <w:sz w:val="24"/>
        </w:rPr>
      </w:pPr>
      <w:r w:rsidRPr="008958AB">
        <w:rPr>
          <w:rFonts w:ascii="宋体" w:hAnsi="宋体" w:hint="eastAsia"/>
          <w:color w:val="000000" w:themeColor="text1"/>
          <w:sz w:val="24"/>
        </w:rPr>
        <w:t>（一）基金管理人、基金托管人将其固有财产或者他人财产混同于基金财产从事证券投资。</w:t>
      </w:r>
    </w:p>
    <w:p w14:paraId="49B792CA" w14:textId="77777777" w:rsidR="00B438AF" w:rsidRPr="008958AB" w:rsidRDefault="006C47E3">
      <w:pPr>
        <w:spacing w:line="360" w:lineRule="auto"/>
        <w:ind w:firstLineChars="200" w:firstLine="480"/>
        <w:rPr>
          <w:rFonts w:ascii="宋体" w:hAnsi="宋体"/>
          <w:color w:val="000000" w:themeColor="text1"/>
        </w:rPr>
      </w:pPr>
      <w:r w:rsidRPr="008958AB">
        <w:rPr>
          <w:rFonts w:ascii="宋体" w:hAnsi="宋体" w:hint="eastAsia"/>
          <w:color w:val="000000" w:themeColor="text1"/>
          <w:sz w:val="24"/>
        </w:rPr>
        <w:t>（二）基金管理人不公平地对待其管理的不同基金财产，基金托管人不公平地对待其托管的不同基金财产。</w:t>
      </w:r>
    </w:p>
    <w:p w14:paraId="22873284" w14:textId="77777777" w:rsidR="00B438AF" w:rsidRPr="008958AB" w:rsidRDefault="006C47E3">
      <w:pPr>
        <w:spacing w:line="360" w:lineRule="auto"/>
        <w:ind w:firstLineChars="200" w:firstLine="480"/>
        <w:rPr>
          <w:rFonts w:ascii="宋体" w:hAnsi="宋体"/>
          <w:color w:val="000000" w:themeColor="text1"/>
          <w:sz w:val="24"/>
        </w:rPr>
      </w:pPr>
      <w:r w:rsidRPr="008958AB">
        <w:rPr>
          <w:rFonts w:ascii="宋体" w:hAnsi="宋体" w:hint="eastAsia"/>
          <w:color w:val="000000" w:themeColor="text1"/>
          <w:sz w:val="24"/>
        </w:rPr>
        <w:t>（三）基金管理人、基金托管人利用基金财产或职务之便为基金份额持有人以外的第三人牟取利益。</w:t>
      </w:r>
    </w:p>
    <w:p w14:paraId="37A9B158" w14:textId="77777777" w:rsidR="00B438AF" w:rsidRPr="008958AB" w:rsidRDefault="006C47E3">
      <w:pPr>
        <w:spacing w:line="360" w:lineRule="auto"/>
        <w:ind w:firstLineChars="200" w:firstLine="480"/>
        <w:rPr>
          <w:rFonts w:ascii="宋体" w:hAnsi="宋体"/>
          <w:color w:val="000000" w:themeColor="text1"/>
          <w:sz w:val="24"/>
        </w:rPr>
      </w:pPr>
      <w:r w:rsidRPr="008958AB">
        <w:rPr>
          <w:rFonts w:ascii="宋体" w:hAnsi="宋体" w:hint="eastAsia"/>
          <w:color w:val="000000" w:themeColor="text1"/>
          <w:sz w:val="24"/>
        </w:rPr>
        <w:t>（四）基金管理人、基金托管人向基金份额持有人违规承诺收益或者承担损失。</w:t>
      </w:r>
    </w:p>
    <w:p w14:paraId="04054A13"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（五）基金管理人、基金托管人对他人泄露基金运作和管理过程中任何尚未按</w:t>
      </w:r>
      <w:r w:rsidRPr="008958AB">
        <w:rPr>
          <w:rFonts w:ascii="宋体" w:hAnsi="宋体" w:cs="Arial" w:hint="eastAsia"/>
          <w:color w:val="000000" w:themeColor="text1"/>
          <w:sz w:val="24"/>
        </w:rPr>
        <w:lastRenderedPageBreak/>
        <w:t>法律法规规定的方式公开披露的信息。</w:t>
      </w:r>
    </w:p>
    <w:p w14:paraId="59F76ADB"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（六）基金管理人在没有充足资金的情况下向基金托管人发出投资指令和赎回、分红资金的划拨指令，或违规向基金托管人发出指令。</w:t>
      </w:r>
    </w:p>
    <w:p w14:paraId="03CB36FE"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（七）基金管理人、基金托管人在行政上、财务上不独立，其高级管理人员和其他从业人员相互兼职。</w:t>
      </w:r>
    </w:p>
    <w:p w14:paraId="2609632D"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（八）基金托管人私自动用或处分基金财产，根据基金管理人的合法指令、《基金合同》或托管协议的规定进行处分的除外。</w:t>
      </w:r>
    </w:p>
    <w:p w14:paraId="512E71F7"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九）基金财产用于下列投资或者活动：1.承销证券；2.违反规定向他人贷款或者提供担保；3.从事承担无限责任的投资；4.买卖基金份额，但是法律法规或中国证监会另有规定的除外；5.向其基金管理人、基金托管人出资；6.从事内幕交易、操纵证券交易价格及其他不正当的证券交易活动；7.法律、行政法规和中国证监会规定禁止的其他活动。如法律法规或监管部门取消上述禁止性规定，基金管理人在履行法定程序后，则本基金投资不再受相关限制。</w:t>
      </w:r>
    </w:p>
    <w:p w14:paraId="7DD6E88B"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（十）法律法规和《基金合同》禁止的其他行为，以及依照法律、行政法规有关规定，由中国证监会规定禁止基金管理人、基金托管人从事的其他行为。</w:t>
      </w:r>
    </w:p>
    <w:p w14:paraId="38A41834" w14:textId="77777777" w:rsidR="00B438AF" w:rsidRPr="008958AB" w:rsidRDefault="00B438AF">
      <w:pPr>
        <w:adjustRightInd w:val="0"/>
        <w:snapToGrid w:val="0"/>
        <w:spacing w:line="360" w:lineRule="auto"/>
        <w:rPr>
          <w:rFonts w:ascii="宋体" w:hAnsi="宋体"/>
          <w:color w:val="000000" w:themeColor="text1"/>
          <w:sz w:val="30"/>
          <w:szCs w:val="30"/>
        </w:rPr>
      </w:pPr>
    </w:p>
    <w:p w14:paraId="0A41588A" w14:textId="77777777" w:rsidR="00B438AF" w:rsidRPr="008958AB" w:rsidRDefault="006C47E3">
      <w:pPr>
        <w:pStyle w:val="2"/>
        <w:spacing w:line="360" w:lineRule="auto"/>
        <w:jc w:val="center"/>
        <w:rPr>
          <w:rFonts w:ascii="宋体" w:eastAsia="宋体" w:hAnsi="宋体"/>
          <w:color w:val="000000" w:themeColor="text1"/>
          <w:sz w:val="30"/>
        </w:rPr>
      </w:pPr>
      <w:bookmarkStart w:id="93" w:name="_Toc124325900"/>
      <w:r w:rsidRPr="008958AB">
        <w:rPr>
          <w:rFonts w:ascii="宋体" w:eastAsia="宋体" w:hAnsi="宋体" w:hint="eastAsia"/>
          <w:color w:val="000000" w:themeColor="text1"/>
          <w:sz w:val="30"/>
        </w:rPr>
        <w:t>十六、托管协议的变更、终止与基金财产的清算</w:t>
      </w:r>
      <w:bookmarkEnd w:id="93"/>
    </w:p>
    <w:p w14:paraId="07EE4ADA"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（一）托管协议的变更程序</w:t>
      </w:r>
    </w:p>
    <w:p w14:paraId="5BBA40D2" w14:textId="77777777" w:rsidR="00B438AF" w:rsidRPr="008958AB" w:rsidRDefault="006C47E3">
      <w:pPr>
        <w:adjustRightInd w:val="0"/>
        <w:snapToGrid w:val="0"/>
        <w:spacing w:line="360" w:lineRule="auto"/>
        <w:ind w:firstLineChars="200" w:firstLine="480"/>
        <w:rPr>
          <w:rFonts w:ascii="宋体" w:hAnsi="宋体"/>
          <w:color w:val="000000" w:themeColor="text1"/>
          <w:sz w:val="30"/>
          <w:szCs w:val="30"/>
        </w:rPr>
      </w:pPr>
      <w:r w:rsidRPr="008958AB">
        <w:rPr>
          <w:rFonts w:ascii="宋体" w:hAnsi="宋体" w:cs="Arial" w:hint="eastAsia"/>
          <w:color w:val="000000" w:themeColor="text1"/>
          <w:sz w:val="24"/>
        </w:rPr>
        <w:t>本协议双方当事人经协商一致，可以对协议进行修改。修改后的新协议，其内容不得与《基金合同》的规定有任何冲突。</w:t>
      </w:r>
    </w:p>
    <w:p w14:paraId="135597E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（二）托管协议终止的情形</w:t>
      </w:r>
    </w:p>
    <w:p w14:paraId="55B123B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1.《基金合同》终止；</w:t>
      </w:r>
    </w:p>
    <w:p w14:paraId="07B37F5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2.基金托管人解散、依法被撤销、破产或由其他基金托管人接管基金托管业务；</w:t>
      </w:r>
    </w:p>
    <w:p w14:paraId="0C29FDDC"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3.基金管理人解散、依法被撤销、破产或由其他基金管理人接管基金管理业务；</w:t>
      </w:r>
    </w:p>
    <w:p w14:paraId="41FCAA0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4.发生法律法规或《基金合同》规定的终止事项。</w:t>
      </w:r>
    </w:p>
    <w:p w14:paraId="1514995B"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（三）基金财产的清算</w:t>
      </w:r>
    </w:p>
    <w:p w14:paraId="524BE95C"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1.基金财产清算小组：自出现《基金合同》终止事由之日起30个工作日内成立清算小组，基金管理人组织基金财产清算小组并在中国证监会的监督下进行基</w:t>
      </w:r>
      <w:r w:rsidRPr="008958AB">
        <w:rPr>
          <w:rFonts w:ascii="宋体" w:hAnsi="宋体" w:cs="Arial" w:hint="eastAsia"/>
          <w:color w:val="000000" w:themeColor="text1"/>
          <w:sz w:val="24"/>
        </w:rPr>
        <w:lastRenderedPageBreak/>
        <w:t>金清算。</w:t>
      </w:r>
    </w:p>
    <w:p w14:paraId="45445C31"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A91A19C"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3.基金财产清算小组职责：基金财产清算小组负责基金财产的保管、清理、估价、变现和分配。基金财产清算小组可以依法进行必要的民事活动。</w:t>
      </w:r>
    </w:p>
    <w:p w14:paraId="6FF1C76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4.基金财产清算程序：</w:t>
      </w:r>
    </w:p>
    <w:p w14:paraId="297B52D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(1)《基金合同》终止情形出现时，由基金财产清算小组统一接管基金；</w:t>
      </w:r>
    </w:p>
    <w:p w14:paraId="7B260AB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(2)对基金财产和债权债务进行清理和确认；</w:t>
      </w:r>
    </w:p>
    <w:p w14:paraId="7D7553E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(3)对基金财产进行估值和变现；</w:t>
      </w:r>
    </w:p>
    <w:p w14:paraId="192003CF"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(4)制作清算报告；</w:t>
      </w:r>
    </w:p>
    <w:p w14:paraId="7C3ED5AA"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(5)聘请会计师事务所对清算报告进行外部审计，聘请律师事务所对清算报告出具法律意见书；</w:t>
      </w:r>
    </w:p>
    <w:p w14:paraId="1197E72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(6)将清算报告报中国证监会备案并公告；</w:t>
      </w:r>
    </w:p>
    <w:p w14:paraId="0B8C6C1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(7)对基金剩余财产进行分配。</w:t>
      </w:r>
    </w:p>
    <w:p w14:paraId="251C41F2"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5.基金财产清算的期限为</w:t>
      </w:r>
      <w:r w:rsidRPr="008958AB">
        <w:rPr>
          <w:rFonts w:ascii="宋体" w:hAnsi="宋体" w:cs="Arial"/>
          <w:color w:val="000000" w:themeColor="text1"/>
          <w:sz w:val="24"/>
        </w:rPr>
        <w:t>6</w:t>
      </w:r>
      <w:r w:rsidRPr="008958AB">
        <w:rPr>
          <w:rFonts w:ascii="宋体" w:hAnsi="宋体" w:cs="Arial" w:hint="eastAsia"/>
          <w:color w:val="000000" w:themeColor="text1"/>
          <w:sz w:val="24"/>
        </w:rPr>
        <w:t>个月，但因本基金所持证券的流动性受到限制而不能及时变现的，清算期限相应顺延。</w:t>
      </w:r>
    </w:p>
    <w:p w14:paraId="481A973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6.清算费用</w:t>
      </w:r>
    </w:p>
    <w:p w14:paraId="3F28CD16"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清算费用是指基金财产清算小组在进行基金财产清算过程中发生的所有合理费用，清算费用由基金财产清算小组优先从基金剩余财产中支付。</w:t>
      </w:r>
    </w:p>
    <w:p w14:paraId="1B509B3D"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7.基金财产清算剩余资产的分配</w:t>
      </w:r>
    </w:p>
    <w:p w14:paraId="7E602941"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依据基金财产清算的分配方案，将基金财产清算后的全部剩余资产扣除基金财产清算费用、交纳基金所欠税款并清偿基金债务后，按基金份额持有人持有的各类别基金份额比例进行分配。</w:t>
      </w:r>
    </w:p>
    <w:p w14:paraId="4A1BA85C"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8.基金财产清算的公告</w:t>
      </w:r>
    </w:p>
    <w:p w14:paraId="2216B41B"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清算过程中的有关重大事项须及时公告；基金财产清算报告</w:t>
      </w:r>
      <w:proofErr w:type="gramStart"/>
      <w:r w:rsidRPr="008958AB">
        <w:rPr>
          <w:rFonts w:ascii="宋体" w:hAnsi="宋体" w:cs="Arial" w:hint="eastAsia"/>
          <w:color w:val="000000" w:themeColor="text1"/>
          <w:sz w:val="24"/>
        </w:rPr>
        <w:t>经符合</w:t>
      </w:r>
      <w:proofErr w:type="gramEnd"/>
      <w:r w:rsidRPr="008958AB">
        <w:rPr>
          <w:rFonts w:ascii="宋体" w:hAnsi="宋体" w:cs="Arial" w:hint="eastAsia"/>
          <w:color w:val="000000" w:themeColor="text1"/>
          <w:sz w:val="24"/>
        </w:rPr>
        <w:t>《</w:t>
      </w:r>
      <w:r w:rsidRPr="008958AB">
        <w:rPr>
          <w:rFonts w:hint="eastAsia"/>
          <w:bCs/>
          <w:color w:val="000000" w:themeColor="text1"/>
          <w:sz w:val="24"/>
        </w:rPr>
        <w:t>中华人民共和国证券法</w:t>
      </w:r>
      <w:r w:rsidRPr="008958AB">
        <w:rPr>
          <w:rFonts w:ascii="宋体" w:hAnsi="宋体" w:cs="Arial" w:hint="eastAsia"/>
          <w:color w:val="000000" w:themeColor="text1"/>
          <w:sz w:val="24"/>
        </w:rPr>
        <w:t>》规定的会计师事务所审计并由律师事务所出具法律意见书后报中国证监会备案并公告。基金财产清算公告于基金财产清算报告报中国证监会备案后</w:t>
      </w:r>
      <w:r w:rsidRPr="008958AB">
        <w:rPr>
          <w:rFonts w:ascii="宋体" w:hAnsi="宋体" w:cs="Arial"/>
          <w:color w:val="000000" w:themeColor="text1"/>
          <w:sz w:val="24"/>
        </w:rPr>
        <w:t>5</w:t>
      </w:r>
      <w:r w:rsidRPr="008958AB">
        <w:rPr>
          <w:rFonts w:ascii="宋体" w:hAnsi="宋体" w:cs="Arial" w:hint="eastAsia"/>
          <w:color w:val="000000" w:themeColor="text1"/>
          <w:sz w:val="24"/>
        </w:rPr>
        <w:t>个工作日内由基金财产清算小组进行公告，基金财产清算小组应当将清算报告登载在规定网站上，并将清算报告提示性公告登载在规定报刊上。</w:t>
      </w:r>
    </w:p>
    <w:p w14:paraId="5C082BC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lastRenderedPageBreak/>
        <w:t>9.基金财产清算账册及文件的保存</w:t>
      </w:r>
    </w:p>
    <w:p w14:paraId="40834A94"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基金财产清算账册及有关文件由基金托管人保存，保存</w:t>
      </w:r>
      <w:r w:rsidRPr="008958AB">
        <w:rPr>
          <w:rFonts w:ascii="宋体" w:hAnsi="宋体" w:cs="Arial" w:hint="eastAsia"/>
          <w:bCs/>
          <w:color w:val="000000" w:themeColor="text1"/>
          <w:sz w:val="24"/>
        </w:rPr>
        <w:t>年限</w:t>
      </w:r>
      <w:r w:rsidRPr="008958AB">
        <w:rPr>
          <w:rFonts w:ascii="宋体" w:hAnsi="宋体" w:cs="Arial" w:hint="eastAsia"/>
          <w:color w:val="000000" w:themeColor="text1"/>
          <w:sz w:val="24"/>
        </w:rPr>
        <w:t>不低于法律法规规定的最低</w:t>
      </w:r>
      <w:r w:rsidRPr="008958AB">
        <w:rPr>
          <w:rFonts w:ascii="宋体" w:hAnsi="宋体" w:cs="Arial" w:hint="eastAsia"/>
          <w:bCs/>
          <w:color w:val="000000" w:themeColor="text1"/>
          <w:sz w:val="24"/>
        </w:rPr>
        <w:t>年限</w:t>
      </w:r>
      <w:r w:rsidRPr="008958AB">
        <w:rPr>
          <w:rFonts w:ascii="宋体" w:hAnsi="宋体" w:cs="Arial" w:hint="eastAsia"/>
          <w:color w:val="000000" w:themeColor="text1"/>
          <w:sz w:val="24"/>
        </w:rPr>
        <w:t>。</w:t>
      </w:r>
    </w:p>
    <w:p w14:paraId="07D0E3D7" w14:textId="77777777" w:rsidR="00B438AF" w:rsidRPr="008958AB" w:rsidRDefault="006C47E3">
      <w:pPr>
        <w:adjustRightInd w:val="0"/>
        <w:snapToGrid w:val="0"/>
        <w:spacing w:line="360" w:lineRule="auto"/>
        <w:ind w:firstLineChars="200" w:firstLine="480"/>
        <w:rPr>
          <w:rFonts w:ascii="宋体" w:hAnsi="宋体" w:cs="Arial"/>
          <w:bCs/>
          <w:color w:val="000000" w:themeColor="text1"/>
          <w:sz w:val="24"/>
        </w:rPr>
      </w:pPr>
      <w:r w:rsidRPr="008958AB">
        <w:rPr>
          <w:rFonts w:ascii="宋体" w:hAnsi="宋体" w:cs="Arial" w:hint="eastAsia"/>
          <w:color w:val="000000" w:themeColor="text1"/>
          <w:sz w:val="24"/>
        </w:rPr>
        <w:t>1</w:t>
      </w:r>
      <w:r w:rsidRPr="008958AB">
        <w:rPr>
          <w:rFonts w:ascii="宋体" w:hAnsi="宋体" w:cs="Arial"/>
          <w:color w:val="000000" w:themeColor="text1"/>
          <w:sz w:val="24"/>
        </w:rPr>
        <w:t>0</w:t>
      </w:r>
      <w:r w:rsidRPr="008958AB">
        <w:rPr>
          <w:rFonts w:ascii="宋体" w:hAnsi="宋体" w:cs="Arial" w:hint="eastAsia"/>
          <w:color w:val="000000" w:themeColor="text1"/>
          <w:sz w:val="24"/>
        </w:rPr>
        <w:t>.</w:t>
      </w:r>
      <w:r w:rsidRPr="008958AB">
        <w:rPr>
          <w:rFonts w:ascii="宋体" w:hAnsi="宋体" w:cs="Arial" w:hint="eastAsia"/>
          <w:bCs/>
          <w:color w:val="000000" w:themeColor="text1"/>
          <w:sz w:val="24"/>
        </w:rPr>
        <w:t>基金合并方案</w:t>
      </w:r>
    </w:p>
    <w:p w14:paraId="73C15AF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bCs/>
          <w:color w:val="000000" w:themeColor="text1"/>
          <w:sz w:val="24"/>
        </w:rPr>
        <w:t>本基金与其他基金的合并应当按照法律法规规定的程序进行。</w:t>
      </w:r>
    </w:p>
    <w:p w14:paraId="5BCA8CFE" w14:textId="77777777" w:rsidR="00B438AF" w:rsidRPr="008958AB" w:rsidRDefault="00B438AF">
      <w:pPr>
        <w:adjustRightInd w:val="0"/>
        <w:snapToGrid w:val="0"/>
        <w:spacing w:line="360" w:lineRule="auto"/>
        <w:rPr>
          <w:rFonts w:ascii="宋体" w:hAnsi="宋体" w:cs="Arial"/>
          <w:color w:val="000000" w:themeColor="text1"/>
          <w:sz w:val="24"/>
        </w:rPr>
      </w:pPr>
    </w:p>
    <w:p w14:paraId="048FC405" w14:textId="77777777" w:rsidR="00B438AF" w:rsidRPr="008958AB" w:rsidRDefault="006C47E3">
      <w:pPr>
        <w:pStyle w:val="2"/>
        <w:spacing w:line="360" w:lineRule="auto"/>
        <w:jc w:val="center"/>
        <w:rPr>
          <w:rFonts w:ascii="宋体" w:eastAsia="宋体" w:hAnsi="宋体"/>
          <w:color w:val="000000" w:themeColor="text1"/>
          <w:sz w:val="30"/>
        </w:rPr>
      </w:pPr>
      <w:bookmarkStart w:id="94" w:name="_Toc124325901"/>
      <w:r w:rsidRPr="008958AB">
        <w:rPr>
          <w:rFonts w:ascii="宋体" w:eastAsia="宋体" w:hAnsi="宋体" w:hint="eastAsia"/>
          <w:color w:val="000000" w:themeColor="text1"/>
          <w:sz w:val="30"/>
        </w:rPr>
        <w:t>十七、违约责任</w:t>
      </w:r>
      <w:bookmarkEnd w:id="94"/>
    </w:p>
    <w:p w14:paraId="1A5F9BD5"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（一）基金管理人、基金托管人不履行本协议或履行本协议不符合约定的，应当承担违约责任。</w:t>
      </w:r>
    </w:p>
    <w:p w14:paraId="60E9EDB4"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w:t>
      </w:r>
    </w:p>
    <w:p w14:paraId="0950FC7E"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2F3290C"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1</w:t>
      </w:r>
      <w:r w:rsidRPr="008958AB">
        <w:rPr>
          <w:rFonts w:ascii="宋体" w:hAnsi="宋体" w:cs="Arial"/>
          <w:color w:val="000000" w:themeColor="text1"/>
          <w:sz w:val="24"/>
        </w:rPr>
        <w:t>.</w:t>
      </w:r>
      <w:r w:rsidRPr="008958AB">
        <w:rPr>
          <w:rFonts w:ascii="宋体" w:hAnsi="宋体" w:cs="Arial" w:hint="eastAsia"/>
          <w:color w:val="000000" w:themeColor="text1"/>
          <w:sz w:val="24"/>
        </w:rPr>
        <w:t>不可抗力；</w:t>
      </w:r>
    </w:p>
    <w:p w14:paraId="457A5879"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2</w:t>
      </w:r>
      <w:r w:rsidRPr="008958AB">
        <w:rPr>
          <w:rFonts w:ascii="宋体" w:hAnsi="宋体" w:cs="Arial"/>
          <w:color w:val="000000" w:themeColor="text1"/>
          <w:sz w:val="24"/>
        </w:rPr>
        <w:t>.</w:t>
      </w:r>
      <w:r w:rsidRPr="008958AB">
        <w:rPr>
          <w:rFonts w:ascii="宋体" w:hAnsi="宋体" w:cs="Arial" w:hint="eastAsia"/>
          <w:color w:val="000000" w:themeColor="text1"/>
          <w:sz w:val="24"/>
        </w:rPr>
        <w:t>基金管理人和</w:t>
      </w:r>
      <w:r w:rsidRPr="008958AB">
        <w:rPr>
          <w:rFonts w:ascii="宋体" w:hAnsi="宋体" w:cs="Arial"/>
          <w:color w:val="000000" w:themeColor="text1"/>
          <w:sz w:val="24"/>
        </w:rPr>
        <w:t>/</w:t>
      </w:r>
      <w:r w:rsidRPr="008958AB">
        <w:rPr>
          <w:rFonts w:ascii="宋体" w:hAnsi="宋体" w:cs="Arial" w:hint="eastAsia"/>
          <w:color w:val="000000" w:themeColor="text1"/>
          <w:sz w:val="24"/>
        </w:rPr>
        <w:t>或基金托管人按照中国证监会的规定或当时有效的法律、法规或规章、市场交易规则的作为或不作为而造成的损失等；</w:t>
      </w:r>
    </w:p>
    <w:p w14:paraId="01A0ECC2"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3</w:t>
      </w:r>
      <w:r w:rsidRPr="008958AB">
        <w:rPr>
          <w:rFonts w:ascii="宋体" w:hAnsi="宋体" w:cs="Arial"/>
          <w:color w:val="000000" w:themeColor="text1"/>
          <w:sz w:val="24"/>
        </w:rPr>
        <w:t>.</w:t>
      </w:r>
      <w:r w:rsidRPr="008958AB">
        <w:rPr>
          <w:rFonts w:hint="eastAsia"/>
          <w:color w:val="000000" w:themeColor="text1"/>
        </w:rPr>
        <w:t xml:space="preserve"> </w:t>
      </w:r>
      <w:r w:rsidRPr="008958AB">
        <w:rPr>
          <w:rFonts w:ascii="宋体" w:hAnsi="宋体" w:cs="Arial" w:hint="eastAsia"/>
          <w:color w:val="000000" w:themeColor="text1"/>
          <w:sz w:val="24"/>
        </w:rPr>
        <w:t>在没有过错的情况下，基金管理人由于按照基金合同规定的投资原则行使或不行使其投资权所造成的损失等。</w:t>
      </w:r>
    </w:p>
    <w:p w14:paraId="15A78DF2"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7FD2A9F"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（五）违约行为虽已发生，但本托管协议能够继续履行的，在最大限度地保护基金份额持有人利益的前提下，基金管理人和基金托管人应当继续履行本协议。</w:t>
      </w:r>
    </w:p>
    <w:p w14:paraId="2658F376" w14:textId="77777777" w:rsidR="00B438AF" w:rsidRPr="008958AB" w:rsidRDefault="006C47E3">
      <w:pPr>
        <w:pStyle w:val="a0"/>
        <w:adjustRightInd w:val="0"/>
        <w:snapToGrid w:val="0"/>
        <w:spacing w:line="360" w:lineRule="auto"/>
        <w:ind w:firstLine="480"/>
        <w:rPr>
          <w:rFonts w:ascii="宋体" w:hAnsi="宋体" w:cs="Arial"/>
          <w:color w:val="000000" w:themeColor="text1"/>
          <w:sz w:val="24"/>
        </w:rPr>
      </w:pPr>
      <w:r w:rsidRPr="008958AB">
        <w:rPr>
          <w:rFonts w:ascii="宋体" w:hAnsi="宋体" w:cs="Arial" w:hint="eastAsia"/>
          <w:color w:val="000000" w:themeColor="text1"/>
          <w:sz w:val="24"/>
        </w:rPr>
        <w:t>（六）由于基金管理人、基金托管人不可控制的因素导致业务出现差错，基金</w:t>
      </w:r>
      <w:r w:rsidRPr="008958AB">
        <w:rPr>
          <w:rFonts w:ascii="宋体" w:hAnsi="宋体" w:cs="Arial" w:hint="eastAsia"/>
          <w:color w:val="000000" w:themeColor="text1"/>
          <w:sz w:val="24"/>
        </w:rPr>
        <w:lastRenderedPageBreak/>
        <w:t>管理人和基金托管人虽然已经采取必要、适当、合理的措施进行检查，但是未能发现错误或因前述原因未能避免或更正错误的，由此造成基金财产或投资人损失，基金管理人和基金托管人免除赔偿责任。但是基金管理人和基金托管人应积极采取必要的措施减轻或消除由此造成的影响。</w:t>
      </w:r>
    </w:p>
    <w:p w14:paraId="3D80C1FF" w14:textId="77777777" w:rsidR="00B438AF" w:rsidRPr="008958AB" w:rsidRDefault="00B438AF">
      <w:pPr>
        <w:pStyle w:val="a0"/>
        <w:adjustRightInd w:val="0"/>
        <w:snapToGrid w:val="0"/>
        <w:spacing w:line="360" w:lineRule="auto"/>
        <w:ind w:firstLine="480"/>
        <w:rPr>
          <w:rFonts w:ascii="宋体" w:hAnsi="宋体" w:cs="Arial"/>
          <w:color w:val="000000" w:themeColor="text1"/>
          <w:sz w:val="24"/>
        </w:rPr>
      </w:pPr>
    </w:p>
    <w:p w14:paraId="0F9F1C18" w14:textId="77777777" w:rsidR="00B438AF" w:rsidRPr="008958AB" w:rsidRDefault="006C47E3">
      <w:pPr>
        <w:pStyle w:val="2"/>
        <w:spacing w:line="360" w:lineRule="auto"/>
        <w:jc w:val="center"/>
        <w:rPr>
          <w:rFonts w:ascii="宋体" w:eastAsia="宋体" w:hAnsi="宋体"/>
          <w:color w:val="000000" w:themeColor="text1"/>
          <w:sz w:val="30"/>
        </w:rPr>
      </w:pPr>
      <w:bookmarkStart w:id="95" w:name="_Toc124325902"/>
      <w:r w:rsidRPr="008958AB">
        <w:rPr>
          <w:rFonts w:ascii="宋体" w:eastAsia="宋体" w:hAnsi="宋体" w:hint="eastAsia"/>
          <w:color w:val="000000" w:themeColor="text1"/>
          <w:sz w:val="30"/>
        </w:rPr>
        <w:t>十八、争议解决方式</w:t>
      </w:r>
      <w:bookmarkEnd w:id="95"/>
    </w:p>
    <w:p w14:paraId="660590F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因本协议产生或与之相关的争议，双方当事人应通过协商、调解解决，协商、调解不能解决的，任何一方均有权将争议提交中国国际经济贸易仲裁委员会，仲裁地点为北京市，按照该会届时有效的仲裁规则进行仲裁。仲裁裁决是终局的，对双方当事人均有约束力。</w:t>
      </w:r>
      <w:bookmarkStart w:id="96" w:name="_Hlk174705462"/>
      <w:r w:rsidRPr="008958AB">
        <w:rPr>
          <w:rFonts w:ascii="宋体" w:hAnsi="宋体" w:cs="Arial" w:hint="eastAsia"/>
          <w:color w:val="000000" w:themeColor="text1"/>
          <w:sz w:val="24"/>
        </w:rPr>
        <w:t>除非仲裁裁决另有规定，</w:t>
      </w:r>
      <w:bookmarkEnd w:id="96"/>
      <w:r w:rsidRPr="008958AB">
        <w:rPr>
          <w:rFonts w:ascii="宋体" w:hAnsi="宋体" w:cs="Arial" w:hint="eastAsia"/>
          <w:color w:val="000000" w:themeColor="text1"/>
          <w:sz w:val="24"/>
        </w:rPr>
        <w:t>仲裁费用由败诉方承担。</w:t>
      </w:r>
    </w:p>
    <w:p w14:paraId="7E985D0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争议处理期间，双方当事人应恪守基金管理人和基金托管人职责，各自继续忠实、勤勉、尽责地履行《基金合同》和本托管协议规定的义务，维护基金份额持有人的合法权益。</w:t>
      </w:r>
    </w:p>
    <w:p w14:paraId="3635BFF1"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本协议受中国法律（为本协议之目的，在此不包括香港、澳门特别行政区和台湾地区法律）管辖并从其解释。</w:t>
      </w:r>
    </w:p>
    <w:p w14:paraId="471157B1" w14:textId="77777777" w:rsidR="00B438AF" w:rsidRPr="008958AB" w:rsidRDefault="00B438AF">
      <w:pPr>
        <w:adjustRightInd w:val="0"/>
        <w:snapToGrid w:val="0"/>
        <w:spacing w:line="360" w:lineRule="auto"/>
        <w:rPr>
          <w:rFonts w:ascii="宋体" w:hAnsi="宋体" w:cs="Arial"/>
          <w:color w:val="000000" w:themeColor="text1"/>
          <w:sz w:val="24"/>
        </w:rPr>
      </w:pPr>
    </w:p>
    <w:p w14:paraId="7F5E04A7" w14:textId="77777777" w:rsidR="00B438AF" w:rsidRPr="008958AB" w:rsidRDefault="006C47E3">
      <w:pPr>
        <w:pStyle w:val="2"/>
        <w:spacing w:line="360" w:lineRule="auto"/>
        <w:jc w:val="center"/>
        <w:rPr>
          <w:rFonts w:ascii="宋体" w:eastAsia="宋体" w:hAnsi="宋体"/>
          <w:color w:val="000000" w:themeColor="text1"/>
          <w:sz w:val="30"/>
        </w:rPr>
      </w:pPr>
      <w:bookmarkStart w:id="97" w:name="_Toc124325903"/>
      <w:r w:rsidRPr="008958AB">
        <w:rPr>
          <w:rFonts w:ascii="宋体" w:eastAsia="宋体" w:hAnsi="宋体" w:hint="eastAsia"/>
          <w:color w:val="000000" w:themeColor="text1"/>
          <w:sz w:val="30"/>
        </w:rPr>
        <w:t>十九、托管协议的效力</w:t>
      </w:r>
      <w:bookmarkEnd w:id="97"/>
    </w:p>
    <w:p w14:paraId="54E57553"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双方对托管协议的效力约定如下：</w:t>
      </w:r>
    </w:p>
    <w:p w14:paraId="01D2D855"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一）基金管理人在向中国证监会申请基金募集注册时提交的托管协议草案，应经托管协议当事人双方加盖公章或合同专用章以及双方法定代表人或授权代表签字（或盖章），协议当事人双方根据中国证监会的意见修改托管协议草案。托管协议以中国证监会注册的文本为正式文本。</w:t>
      </w:r>
    </w:p>
    <w:p w14:paraId="10C1ECE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（二）托管协议自《基金合同》成立之日起成立，自《基金合同》生效之日起生效。托管协议的有效期自其生效之日起至基金财产清算结果报中国证监会备案并公告之日止。</w:t>
      </w:r>
    </w:p>
    <w:p w14:paraId="7AAB14D7"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（三）托管协议自生效之日起对托管协议当事人具有同等的法律约束力。</w:t>
      </w:r>
    </w:p>
    <w:p w14:paraId="104B7DA9" w14:textId="77777777" w:rsidR="00B438AF" w:rsidRPr="008958AB" w:rsidRDefault="006C47E3">
      <w:pPr>
        <w:adjustRightInd w:val="0"/>
        <w:snapToGrid w:val="0"/>
        <w:spacing w:line="360" w:lineRule="auto"/>
        <w:ind w:firstLineChars="200" w:firstLine="480"/>
        <w:rPr>
          <w:rFonts w:ascii="宋体" w:hAnsi="宋体"/>
          <w:color w:val="000000" w:themeColor="text1"/>
          <w:sz w:val="30"/>
          <w:szCs w:val="30"/>
        </w:rPr>
      </w:pPr>
      <w:r w:rsidRPr="008958AB">
        <w:rPr>
          <w:rFonts w:ascii="宋体" w:hAnsi="宋体" w:cs="Arial" w:hint="eastAsia"/>
          <w:color w:val="000000" w:themeColor="text1"/>
          <w:sz w:val="24"/>
        </w:rPr>
        <w:t>（四）本协议一式六份，协议双方各持二份，上报监管机构二份，每份具有同</w:t>
      </w:r>
      <w:r w:rsidRPr="008958AB">
        <w:rPr>
          <w:rFonts w:ascii="宋体" w:hAnsi="宋体" w:cs="Arial" w:hint="eastAsia"/>
          <w:color w:val="000000" w:themeColor="text1"/>
          <w:sz w:val="24"/>
        </w:rPr>
        <w:lastRenderedPageBreak/>
        <w:t>等的法律效力。</w:t>
      </w:r>
    </w:p>
    <w:p w14:paraId="3B20721E" w14:textId="77777777" w:rsidR="00B438AF" w:rsidRPr="008958AB" w:rsidRDefault="00B438AF">
      <w:pPr>
        <w:adjustRightInd w:val="0"/>
        <w:snapToGrid w:val="0"/>
        <w:spacing w:line="360" w:lineRule="auto"/>
        <w:rPr>
          <w:rFonts w:ascii="宋体" w:hAnsi="宋体" w:cs="Arial"/>
          <w:color w:val="000000" w:themeColor="text1"/>
          <w:sz w:val="24"/>
        </w:rPr>
      </w:pPr>
    </w:p>
    <w:p w14:paraId="66C6CBCD" w14:textId="77777777" w:rsidR="00B438AF" w:rsidRPr="008958AB" w:rsidRDefault="006C47E3">
      <w:pPr>
        <w:pStyle w:val="2"/>
        <w:spacing w:line="360" w:lineRule="auto"/>
        <w:jc w:val="center"/>
        <w:rPr>
          <w:rFonts w:ascii="宋体" w:eastAsia="宋体" w:hAnsi="宋体"/>
          <w:color w:val="000000" w:themeColor="text1"/>
          <w:sz w:val="30"/>
        </w:rPr>
      </w:pPr>
      <w:bookmarkStart w:id="98" w:name="_Toc124325904"/>
      <w:r w:rsidRPr="008958AB">
        <w:rPr>
          <w:rFonts w:ascii="宋体" w:eastAsia="宋体" w:hAnsi="宋体" w:hint="eastAsia"/>
          <w:color w:val="000000" w:themeColor="text1"/>
          <w:sz w:val="30"/>
        </w:rPr>
        <w:t>二十、其他事项</w:t>
      </w:r>
      <w:bookmarkEnd w:id="98"/>
    </w:p>
    <w:p w14:paraId="73856EAE"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如发生有权司法机关依法冻结基金份额持有人的基金份额时，基金管理人应予以配合，承担司法协助义务。</w:t>
      </w:r>
    </w:p>
    <w:p w14:paraId="60F40909"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除本协议有明确定义外，本协议的用语定义适用《基金合同》的约定。本协议未尽事宜，当事人依据《基金合同》、有关法律法规等规定协商办理。</w:t>
      </w:r>
    </w:p>
    <w:p w14:paraId="0D0B99FB" w14:textId="77777777" w:rsidR="00B438AF" w:rsidRPr="008958AB" w:rsidRDefault="00B438AF">
      <w:pPr>
        <w:adjustRightInd w:val="0"/>
        <w:snapToGrid w:val="0"/>
        <w:spacing w:line="360" w:lineRule="auto"/>
        <w:rPr>
          <w:rFonts w:ascii="宋体" w:hAnsi="宋体"/>
          <w:b/>
          <w:bCs/>
          <w:color w:val="000000" w:themeColor="text1"/>
        </w:rPr>
      </w:pPr>
    </w:p>
    <w:p w14:paraId="111EE164" w14:textId="77777777" w:rsidR="00B438AF" w:rsidRPr="008958AB" w:rsidRDefault="006C47E3">
      <w:pPr>
        <w:pStyle w:val="2"/>
        <w:spacing w:line="360" w:lineRule="auto"/>
        <w:jc w:val="center"/>
        <w:rPr>
          <w:rFonts w:ascii="宋体" w:eastAsia="宋体" w:hAnsi="宋体"/>
          <w:color w:val="000000" w:themeColor="text1"/>
          <w:sz w:val="30"/>
        </w:rPr>
      </w:pPr>
      <w:bookmarkStart w:id="99" w:name="_Toc124325905"/>
      <w:r w:rsidRPr="008958AB">
        <w:rPr>
          <w:rFonts w:ascii="宋体" w:eastAsia="宋体" w:hAnsi="宋体" w:hint="eastAsia"/>
          <w:color w:val="000000" w:themeColor="text1"/>
          <w:sz w:val="30"/>
        </w:rPr>
        <w:t>二十一、托管协议的签订</w:t>
      </w:r>
      <w:bookmarkEnd w:id="99"/>
    </w:p>
    <w:p w14:paraId="68B97D70" w14:textId="77777777" w:rsidR="00B438AF" w:rsidRPr="008958AB" w:rsidRDefault="006C47E3">
      <w:pPr>
        <w:adjustRightInd w:val="0"/>
        <w:snapToGrid w:val="0"/>
        <w:spacing w:line="360" w:lineRule="auto"/>
        <w:ind w:firstLineChars="200" w:firstLine="480"/>
        <w:rPr>
          <w:rFonts w:ascii="宋体" w:hAnsi="宋体" w:cs="Arial"/>
          <w:color w:val="000000" w:themeColor="text1"/>
          <w:sz w:val="24"/>
        </w:rPr>
      </w:pPr>
      <w:r w:rsidRPr="008958AB">
        <w:rPr>
          <w:rFonts w:ascii="宋体" w:hAnsi="宋体" w:cs="Arial" w:hint="eastAsia"/>
          <w:color w:val="000000" w:themeColor="text1"/>
          <w:sz w:val="24"/>
        </w:rPr>
        <w:t>本协议双方法定代表人或授权代表签章、签订地、签订日。</w:t>
      </w:r>
    </w:p>
    <w:p w14:paraId="70C4D8A3" w14:textId="77777777" w:rsidR="00B438AF" w:rsidRPr="008958AB" w:rsidRDefault="00B438AF">
      <w:pPr>
        <w:adjustRightInd w:val="0"/>
        <w:snapToGrid w:val="0"/>
        <w:spacing w:line="360" w:lineRule="auto"/>
        <w:ind w:firstLineChars="200" w:firstLine="480"/>
        <w:rPr>
          <w:rFonts w:ascii="宋体" w:hAnsi="宋体" w:cs="Arial"/>
          <w:color w:val="000000" w:themeColor="text1"/>
          <w:sz w:val="24"/>
        </w:rPr>
        <w:sectPr w:rsidR="00B438AF" w:rsidRPr="008958AB">
          <w:headerReference w:type="default" r:id="rId9"/>
          <w:pgSz w:w="11906" w:h="16838"/>
          <w:pgMar w:top="1418" w:right="1701" w:bottom="1418" w:left="1701" w:header="851" w:footer="992" w:gutter="0"/>
          <w:cols w:space="720"/>
          <w:docGrid w:type="lines" w:linePitch="312"/>
        </w:sectPr>
      </w:pPr>
    </w:p>
    <w:p w14:paraId="4AB7C8CB" w14:textId="287FABCF" w:rsidR="00B438AF" w:rsidRPr="008958AB" w:rsidRDefault="006C47E3">
      <w:pPr>
        <w:spacing w:line="360" w:lineRule="auto"/>
        <w:ind w:right="26"/>
        <w:rPr>
          <w:rFonts w:ascii="宋体" w:hAnsi="宋体"/>
          <w:color w:val="000000" w:themeColor="text1"/>
          <w:sz w:val="24"/>
        </w:rPr>
      </w:pPr>
      <w:r w:rsidRPr="008958AB">
        <w:rPr>
          <w:rFonts w:ascii="宋体" w:hAnsi="宋体" w:hint="eastAsia"/>
          <w:color w:val="000000" w:themeColor="text1"/>
          <w:sz w:val="24"/>
        </w:rPr>
        <w:lastRenderedPageBreak/>
        <w:t>本页无正文，为《浦银安盛周期优选混合型发起式证券投资基金托管协议》的签字盖章页。</w:t>
      </w:r>
    </w:p>
    <w:p w14:paraId="079EFD06" w14:textId="77777777" w:rsidR="00B438AF" w:rsidRPr="008958AB" w:rsidRDefault="00B438AF">
      <w:pPr>
        <w:spacing w:line="360" w:lineRule="auto"/>
        <w:rPr>
          <w:rFonts w:ascii="宋体" w:hAnsi="宋体"/>
          <w:color w:val="000000" w:themeColor="text1"/>
          <w:sz w:val="24"/>
        </w:rPr>
      </w:pPr>
    </w:p>
    <w:p w14:paraId="795D8A85" w14:textId="77777777" w:rsidR="00B438AF" w:rsidRPr="008958AB" w:rsidRDefault="00B438AF">
      <w:pPr>
        <w:spacing w:line="360" w:lineRule="auto"/>
        <w:rPr>
          <w:rFonts w:ascii="宋体" w:hAnsi="宋体"/>
          <w:color w:val="000000" w:themeColor="text1"/>
          <w:sz w:val="24"/>
        </w:rPr>
      </w:pPr>
    </w:p>
    <w:p w14:paraId="14980B20" w14:textId="77777777" w:rsidR="00B438AF" w:rsidRPr="008958AB" w:rsidRDefault="00B438AF">
      <w:pPr>
        <w:spacing w:line="360" w:lineRule="auto"/>
        <w:rPr>
          <w:rFonts w:ascii="宋体" w:hAnsi="宋体"/>
          <w:color w:val="000000" w:themeColor="text1"/>
          <w:sz w:val="24"/>
        </w:rPr>
      </w:pPr>
    </w:p>
    <w:p w14:paraId="27EF9960" w14:textId="77777777" w:rsidR="00B438AF" w:rsidRPr="008958AB" w:rsidRDefault="006C47E3">
      <w:pPr>
        <w:spacing w:line="360" w:lineRule="auto"/>
        <w:ind w:right="26"/>
        <w:rPr>
          <w:rFonts w:ascii="宋体" w:hAnsi="宋体"/>
          <w:color w:val="000000" w:themeColor="text1"/>
          <w:sz w:val="24"/>
        </w:rPr>
      </w:pPr>
      <w:r w:rsidRPr="008958AB">
        <w:rPr>
          <w:rFonts w:ascii="宋体" w:hAnsi="宋体" w:hint="eastAsia"/>
          <w:color w:val="000000" w:themeColor="text1"/>
          <w:sz w:val="24"/>
        </w:rPr>
        <w:t>基金管理人：</w:t>
      </w:r>
      <w:proofErr w:type="gramStart"/>
      <w:r w:rsidRPr="008958AB">
        <w:rPr>
          <w:rFonts w:ascii="宋体" w:hAnsi="宋体" w:hint="eastAsia"/>
          <w:color w:val="000000" w:themeColor="text1"/>
          <w:sz w:val="24"/>
        </w:rPr>
        <w:t>浦银安盛基金</w:t>
      </w:r>
      <w:proofErr w:type="gramEnd"/>
      <w:r w:rsidRPr="008958AB">
        <w:rPr>
          <w:rFonts w:ascii="宋体" w:hAnsi="宋体" w:hint="eastAsia"/>
          <w:color w:val="000000" w:themeColor="text1"/>
          <w:sz w:val="24"/>
        </w:rPr>
        <w:t>管理有限公司（盖章）</w:t>
      </w:r>
    </w:p>
    <w:p w14:paraId="2DDBCE0B" w14:textId="77777777" w:rsidR="00B438AF" w:rsidRPr="008958AB" w:rsidRDefault="00B438AF">
      <w:pPr>
        <w:spacing w:line="360" w:lineRule="auto"/>
        <w:ind w:right="26"/>
        <w:rPr>
          <w:rFonts w:ascii="宋体" w:hAnsi="宋体"/>
          <w:color w:val="000000" w:themeColor="text1"/>
          <w:sz w:val="24"/>
        </w:rPr>
      </w:pPr>
      <w:bookmarkStart w:id="100" w:name="_GoBack"/>
      <w:bookmarkEnd w:id="100"/>
    </w:p>
    <w:p w14:paraId="647C517D" w14:textId="77777777" w:rsidR="00B438AF" w:rsidRPr="008958AB" w:rsidRDefault="00B438AF">
      <w:pPr>
        <w:spacing w:line="360" w:lineRule="auto"/>
        <w:ind w:right="26"/>
        <w:rPr>
          <w:rFonts w:ascii="宋体" w:hAnsi="宋体"/>
          <w:color w:val="000000" w:themeColor="text1"/>
          <w:sz w:val="24"/>
        </w:rPr>
      </w:pPr>
    </w:p>
    <w:p w14:paraId="104F0BEB" w14:textId="77777777" w:rsidR="00B438AF" w:rsidRPr="008958AB" w:rsidRDefault="00B438AF">
      <w:pPr>
        <w:spacing w:line="360" w:lineRule="auto"/>
        <w:ind w:right="26"/>
        <w:rPr>
          <w:rFonts w:ascii="宋体" w:hAnsi="宋体"/>
          <w:color w:val="000000" w:themeColor="text1"/>
          <w:sz w:val="24"/>
        </w:rPr>
      </w:pPr>
    </w:p>
    <w:p w14:paraId="4388F23D" w14:textId="77777777" w:rsidR="00B438AF" w:rsidRPr="008958AB" w:rsidRDefault="00B438AF">
      <w:pPr>
        <w:spacing w:line="360" w:lineRule="auto"/>
        <w:ind w:right="26"/>
        <w:rPr>
          <w:rFonts w:ascii="宋体" w:hAnsi="宋体"/>
          <w:color w:val="000000" w:themeColor="text1"/>
          <w:sz w:val="24"/>
        </w:rPr>
      </w:pPr>
    </w:p>
    <w:p w14:paraId="77C1ED04" w14:textId="77777777" w:rsidR="00B438AF" w:rsidRPr="008958AB" w:rsidRDefault="006C47E3">
      <w:pPr>
        <w:spacing w:line="360" w:lineRule="auto"/>
        <w:ind w:right="26"/>
        <w:rPr>
          <w:rFonts w:ascii="宋体" w:hAnsi="宋体"/>
          <w:color w:val="000000" w:themeColor="text1"/>
          <w:sz w:val="24"/>
        </w:rPr>
      </w:pPr>
      <w:r w:rsidRPr="008958AB">
        <w:rPr>
          <w:rFonts w:ascii="宋体" w:hAnsi="宋体" w:hint="eastAsia"/>
          <w:color w:val="000000" w:themeColor="text1"/>
          <w:sz w:val="24"/>
        </w:rPr>
        <w:t xml:space="preserve">法定代表人或授权代表：                   </w:t>
      </w:r>
    </w:p>
    <w:p w14:paraId="65AEB101" w14:textId="77777777" w:rsidR="00B438AF" w:rsidRPr="008958AB" w:rsidRDefault="00B438AF">
      <w:pPr>
        <w:spacing w:line="360" w:lineRule="auto"/>
        <w:ind w:right="26"/>
        <w:rPr>
          <w:rFonts w:ascii="宋体" w:hAnsi="宋体"/>
          <w:color w:val="000000" w:themeColor="text1"/>
          <w:sz w:val="24"/>
        </w:rPr>
      </w:pPr>
    </w:p>
    <w:p w14:paraId="79C96B9F" w14:textId="77777777" w:rsidR="00B438AF" w:rsidRPr="008958AB" w:rsidRDefault="00B438AF">
      <w:pPr>
        <w:spacing w:line="360" w:lineRule="auto"/>
        <w:ind w:right="26"/>
        <w:rPr>
          <w:rFonts w:ascii="宋体" w:hAnsi="宋体"/>
          <w:color w:val="000000" w:themeColor="text1"/>
          <w:sz w:val="24"/>
        </w:rPr>
      </w:pPr>
    </w:p>
    <w:p w14:paraId="3F32A10E" w14:textId="77777777" w:rsidR="00B438AF" w:rsidRPr="008958AB" w:rsidRDefault="00B438AF">
      <w:pPr>
        <w:spacing w:line="360" w:lineRule="auto"/>
        <w:ind w:right="26"/>
        <w:rPr>
          <w:rFonts w:ascii="宋体" w:hAnsi="宋体"/>
          <w:color w:val="000000" w:themeColor="text1"/>
          <w:sz w:val="24"/>
        </w:rPr>
      </w:pPr>
    </w:p>
    <w:p w14:paraId="14597E50" w14:textId="77777777" w:rsidR="00B438AF" w:rsidRPr="008958AB" w:rsidRDefault="00B438AF">
      <w:pPr>
        <w:spacing w:line="360" w:lineRule="auto"/>
        <w:ind w:right="26"/>
        <w:rPr>
          <w:rFonts w:ascii="宋体" w:hAnsi="宋体"/>
          <w:color w:val="000000" w:themeColor="text1"/>
          <w:sz w:val="24"/>
        </w:rPr>
      </w:pPr>
    </w:p>
    <w:p w14:paraId="484F8FF0" w14:textId="77777777" w:rsidR="00B438AF" w:rsidRPr="008958AB" w:rsidRDefault="00B438AF">
      <w:pPr>
        <w:spacing w:line="360" w:lineRule="auto"/>
        <w:ind w:right="26"/>
        <w:rPr>
          <w:rFonts w:ascii="宋体" w:hAnsi="宋体"/>
          <w:color w:val="000000" w:themeColor="text1"/>
          <w:sz w:val="24"/>
        </w:rPr>
      </w:pPr>
    </w:p>
    <w:p w14:paraId="2F51D1F7" w14:textId="77777777" w:rsidR="00B438AF" w:rsidRPr="008958AB" w:rsidRDefault="006C47E3">
      <w:pPr>
        <w:spacing w:line="360" w:lineRule="auto"/>
        <w:ind w:right="26"/>
        <w:rPr>
          <w:rFonts w:ascii="宋体" w:hAnsi="宋体"/>
          <w:color w:val="000000" w:themeColor="text1"/>
          <w:sz w:val="24"/>
        </w:rPr>
      </w:pPr>
      <w:r w:rsidRPr="008958AB">
        <w:rPr>
          <w:rFonts w:ascii="宋体" w:hAnsi="宋体" w:hint="eastAsia"/>
          <w:color w:val="000000" w:themeColor="text1"/>
          <w:sz w:val="24"/>
        </w:rPr>
        <w:t>基金托管人：中国建设银行股份有限公司（盖章）</w:t>
      </w:r>
    </w:p>
    <w:p w14:paraId="70F0BA28" w14:textId="77777777" w:rsidR="00B438AF" w:rsidRPr="008958AB" w:rsidRDefault="00B438AF">
      <w:pPr>
        <w:spacing w:line="360" w:lineRule="auto"/>
        <w:ind w:right="26"/>
        <w:rPr>
          <w:rFonts w:ascii="宋体" w:hAnsi="宋体"/>
          <w:color w:val="000000" w:themeColor="text1"/>
          <w:sz w:val="24"/>
        </w:rPr>
      </w:pPr>
    </w:p>
    <w:p w14:paraId="5E229108" w14:textId="77777777" w:rsidR="00B438AF" w:rsidRPr="008958AB" w:rsidRDefault="00B438AF">
      <w:pPr>
        <w:spacing w:line="360" w:lineRule="auto"/>
        <w:ind w:right="26"/>
        <w:rPr>
          <w:rFonts w:ascii="宋体" w:hAnsi="宋体"/>
          <w:color w:val="000000" w:themeColor="text1"/>
          <w:sz w:val="24"/>
        </w:rPr>
      </w:pPr>
    </w:p>
    <w:p w14:paraId="6F22CD86" w14:textId="77777777" w:rsidR="00B438AF" w:rsidRPr="008958AB" w:rsidRDefault="00B438AF">
      <w:pPr>
        <w:spacing w:line="360" w:lineRule="auto"/>
        <w:ind w:right="26"/>
        <w:rPr>
          <w:rFonts w:ascii="宋体" w:hAnsi="宋体"/>
          <w:color w:val="000000" w:themeColor="text1"/>
          <w:sz w:val="24"/>
        </w:rPr>
      </w:pPr>
    </w:p>
    <w:p w14:paraId="253383EB" w14:textId="77777777" w:rsidR="00B438AF" w:rsidRPr="008958AB" w:rsidRDefault="00B438AF">
      <w:pPr>
        <w:spacing w:line="360" w:lineRule="auto"/>
        <w:ind w:right="26"/>
        <w:rPr>
          <w:rFonts w:ascii="宋体" w:hAnsi="宋体"/>
          <w:color w:val="000000" w:themeColor="text1"/>
          <w:sz w:val="24"/>
        </w:rPr>
      </w:pPr>
    </w:p>
    <w:p w14:paraId="44589A20" w14:textId="77777777" w:rsidR="00B438AF" w:rsidRPr="008958AB" w:rsidRDefault="006C47E3">
      <w:pPr>
        <w:spacing w:line="360" w:lineRule="auto"/>
        <w:ind w:right="26"/>
        <w:rPr>
          <w:rFonts w:ascii="宋体" w:hAnsi="宋体"/>
          <w:color w:val="000000" w:themeColor="text1"/>
          <w:sz w:val="24"/>
        </w:rPr>
      </w:pPr>
      <w:r w:rsidRPr="008958AB">
        <w:rPr>
          <w:rFonts w:ascii="宋体" w:hAnsi="宋体" w:hint="eastAsia"/>
          <w:color w:val="000000" w:themeColor="text1"/>
          <w:sz w:val="24"/>
        </w:rPr>
        <w:t xml:space="preserve">法定代表人或授权代表：                   </w:t>
      </w:r>
    </w:p>
    <w:p w14:paraId="161D899B" w14:textId="77777777" w:rsidR="00B438AF" w:rsidRPr="008958AB" w:rsidRDefault="00B438AF">
      <w:pPr>
        <w:spacing w:line="360" w:lineRule="auto"/>
        <w:ind w:right="26"/>
        <w:rPr>
          <w:rFonts w:ascii="宋体" w:hAnsi="宋体"/>
          <w:b/>
          <w:color w:val="000000" w:themeColor="text1"/>
          <w:sz w:val="24"/>
          <w:szCs w:val="28"/>
        </w:rPr>
      </w:pPr>
    </w:p>
    <w:p w14:paraId="0634B9D5" w14:textId="77777777" w:rsidR="00B438AF" w:rsidRPr="008958AB" w:rsidRDefault="00B438AF">
      <w:pPr>
        <w:spacing w:line="360" w:lineRule="auto"/>
        <w:ind w:right="26"/>
        <w:rPr>
          <w:rFonts w:ascii="宋体" w:hAnsi="宋体"/>
          <w:b/>
          <w:color w:val="000000" w:themeColor="text1"/>
          <w:sz w:val="24"/>
          <w:szCs w:val="28"/>
        </w:rPr>
      </w:pPr>
    </w:p>
    <w:p w14:paraId="2FC9CE89" w14:textId="77777777" w:rsidR="00B438AF" w:rsidRPr="008958AB" w:rsidRDefault="00B438AF">
      <w:pPr>
        <w:spacing w:line="360" w:lineRule="auto"/>
        <w:ind w:right="26"/>
        <w:rPr>
          <w:rFonts w:ascii="宋体" w:hAnsi="宋体"/>
          <w:b/>
          <w:color w:val="000000" w:themeColor="text1"/>
          <w:sz w:val="24"/>
          <w:szCs w:val="28"/>
        </w:rPr>
      </w:pPr>
    </w:p>
    <w:p w14:paraId="6C053369" w14:textId="77777777" w:rsidR="00B438AF" w:rsidRPr="008958AB" w:rsidRDefault="006C47E3">
      <w:pPr>
        <w:spacing w:line="360" w:lineRule="auto"/>
        <w:ind w:right="26"/>
        <w:rPr>
          <w:rFonts w:ascii="宋体" w:hAnsi="宋体"/>
          <w:b/>
          <w:color w:val="000000" w:themeColor="text1"/>
          <w:sz w:val="24"/>
          <w:szCs w:val="28"/>
        </w:rPr>
      </w:pPr>
      <w:r w:rsidRPr="008958AB">
        <w:rPr>
          <w:rFonts w:ascii="宋体" w:hAnsi="宋体" w:hint="eastAsia"/>
          <w:b/>
          <w:color w:val="000000" w:themeColor="text1"/>
          <w:sz w:val="24"/>
          <w:szCs w:val="28"/>
        </w:rPr>
        <w:t>签订地点：北京</w:t>
      </w:r>
    </w:p>
    <w:p w14:paraId="1E923497" w14:textId="480F9564" w:rsidR="00B438AF" w:rsidRDefault="006C47E3">
      <w:pPr>
        <w:spacing w:line="360" w:lineRule="auto"/>
        <w:ind w:right="26"/>
        <w:rPr>
          <w:rFonts w:ascii="宋体" w:hAnsi="宋体"/>
          <w:b/>
          <w:color w:val="000000" w:themeColor="text1"/>
          <w:sz w:val="24"/>
          <w:szCs w:val="28"/>
        </w:rPr>
      </w:pPr>
      <w:r w:rsidRPr="008958AB">
        <w:rPr>
          <w:rFonts w:ascii="宋体" w:hAnsi="宋体" w:hint="eastAsia"/>
          <w:b/>
          <w:color w:val="000000" w:themeColor="text1"/>
          <w:sz w:val="24"/>
          <w:szCs w:val="28"/>
        </w:rPr>
        <w:t>签 订 日：二零二五年</w:t>
      </w:r>
      <w:r w:rsidRPr="008958AB">
        <w:rPr>
          <w:rFonts w:ascii="宋体" w:hAnsi="宋体" w:cs="宋体" w:hint="eastAsia"/>
          <w:b/>
          <w:color w:val="000000" w:themeColor="text1"/>
          <w:sz w:val="24"/>
          <w:szCs w:val="28"/>
        </w:rPr>
        <w:t xml:space="preserve"> </w:t>
      </w:r>
      <w:r w:rsidRPr="008958AB">
        <w:rPr>
          <w:rFonts w:ascii="宋体" w:hAnsi="宋体" w:hint="eastAsia"/>
          <w:b/>
          <w:color w:val="000000" w:themeColor="text1"/>
          <w:sz w:val="24"/>
          <w:szCs w:val="28"/>
        </w:rPr>
        <w:t>月</w:t>
      </w:r>
      <w:r w:rsidRPr="008958AB">
        <w:rPr>
          <w:rFonts w:ascii="宋体" w:hAnsi="宋体" w:cs="宋体" w:hint="eastAsia"/>
          <w:b/>
          <w:color w:val="000000" w:themeColor="text1"/>
          <w:sz w:val="24"/>
          <w:szCs w:val="28"/>
        </w:rPr>
        <w:t xml:space="preserve"> </w:t>
      </w:r>
      <w:r w:rsidRPr="008958AB">
        <w:rPr>
          <w:rFonts w:ascii="宋体" w:hAnsi="宋体" w:hint="eastAsia"/>
          <w:b/>
          <w:color w:val="000000" w:themeColor="text1"/>
          <w:sz w:val="24"/>
          <w:szCs w:val="28"/>
        </w:rPr>
        <w:t>日</w:t>
      </w:r>
    </w:p>
    <w:p w14:paraId="69F838A1" w14:textId="77777777" w:rsidR="00B438AF" w:rsidRDefault="00B438AF">
      <w:pPr>
        <w:adjustRightInd w:val="0"/>
        <w:snapToGrid w:val="0"/>
        <w:spacing w:line="360" w:lineRule="auto"/>
        <w:rPr>
          <w:rFonts w:ascii="宋体" w:hAnsi="宋体" w:cs="Arial"/>
          <w:color w:val="000000" w:themeColor="text1"/>
          <w:sz w:val="24"/>
        </w:rPr>
      </w:pPr>
    </w:p>
    <w:p w14:paraId="72A16608" w14:textId="77777777" w:rsidR="00B438AF" w:rsidRDefault="00B438AF">
      <w:pPr>
        <w:spacing w:line="360" w:lineRule="auto"/>
        <w:rPr>
          <w:rFonts w:ascii="宋体" w:hAnsi="宋体"/>
          <w:color w:val="000000" w:themeColor="text1"/>
        </w:rPr>
      </w:pPr>
    </w:p>
    <w:p w14:paraId="34D4302D" w14:textId="77777777" w:rsidR="00B438AF" w:rsidRDefault="00B438AF">
      <w:pPr>
        <w:spacing w:line="360" w:lineRule="auto"/>
        <w:rPr>
          <w:rFonts w:ascii="宋体" w:hAnsi="宋体"/>
          <w:color w:val="000000" w:themeColor="text1"/>
        </w:rPr>
      </w:pPr>
    </w:p>
    <w:sectPr w:rsidR="00B438AF">
      <w:headerReference w:type="default" r:id="rId10"/>
      <w:footerReference w:type="default" r:id="rId11"/>
      <w:pgSz w:w="11906" w:h="16838"/>
      <w:pgMar w:top="1418" w:right="1701" w:bottom="1418" w:left="1701"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B4A05" w16cid:durableId="2B28C56E"/>
  <w16cid:commentId w16cid:paraId="050F0EEB" w16cid:durableId="2B28C56F"/>
  <w16cid:commentId w16cid:paraId="65B85977" w16cid:durableId="2B28C570"/>
  <w16cid:commentId w16cid:paraId="4BC45ABD" w16cid:durableId="2B28C571"/>
  <w16cid:commentId w16cid:paraId="25BF701B" w16cid:durableId="2B28C572"/>
  <w16cid:commentId w16cid:paraId="05E7420C" w16cid:durableId="2B28C573"/>
  <w16cid:commentId w16cid:paraId="5B043EBB" w16cid:durableId="2B28C574"/>
  <w16cid:commentId w16cid:paraId="48AC760F" w16cid:durableId="2B28C575"/>
  <w16cid:commentId w16cid:paraId="62FD4B4A" w16cid:durableId="2B28C576"/>
  <w16cid:commentId w16cid:paraId="70D35073" w16cid:durableId="2B28C5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0398A" w14:textId="77777777" w:rsidR="00D8628F" w:rsidRDefault="00D8628F">
      <w:r>
        <w:separator/>
      </w:r>
    </w:p>
  </w:endnote>
  <w:endnote w:type="continuationSeparator" w:id="0">
    <w:p w14:paraId="710AB50E" w14:textId="77777777" w:rsidR="00D8628F" w:rsidRDefault="00D8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E4DB" w14:textId="77777777" w:rsidR="00B438AF" w:rsidRDefault="006C47E3">
    <w:pPr>
      <w:pStyle w:val="a8"/>
      <w:framePr w:wrap="around" w:vAnchor="text" w:hAnchor="margin" w:xAlign="center" w:y="1"/>
      <w:rPr>
        <w:rStyle w:val="af"/>
      </w:rPr>
    </w:pPr>
    <w:r>
      <w:fldChar w:fldCharType="begin"/>
    </w:r>
    <w:r>
      <w:rPr>
        <w:rStyle w:val="af"/>
      </w:rPr>
      <w:instrText xml:space="preserve">PAGE  </w:instrText>
    </w:r>
    <w:r>
      <w:fldChar w:fldCharType="end"/>
    </w:r>
  </w:p>
  <w:p w14:paraId="6F926565" w14:textId="77777777" w:rsidR="00B438AF" w:rsidRDefault="00B438A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E070" w14:textId="6459F179" w:rsidR="00B438AF" w:rsidRDefault="006C47E3">
    <w:pPr>
      <w:pStyle w:val="a8"/>
      <w:framePr w:wrap="around" w:vAnchor="text" w:hAnchor="margin" w:xAlign="center" w:y="1"/>
      <w:rPr>
        <w:rStyle w:val="af"/>
      </w:rPr>
    </w:pPr>
    <w:r>
      <w:fldChar w:fldCharType="begin"/>
    </w:r>
    <w:r>
      <w:rPr>
        <w:rStyle w:val="af"/>
      </w:rPr>
      <w:instrText xml:space="preserve">PAGE  </w:instrText>
    </w:r>
    <w:r>
      <w:fldChar w:fldCharType="separate"/>
    </w:r>
    <w:r w:rsidR="00B03CC9">
      <w:rPr>
        <w:rStyle w:val="af"/>
        <w:noProof/>
      </w:rPr>
      <w:t>41</w:t>
    </w:r>
    <w:r>
      <w:fldChar w:fldCharType="end"/>
    </w:r>
  </w:p>
  <w:p w14:paraId="3256E0F6" w14:textId="77777777" w:rsidR="00B438AF" w:rsidRDefault="00B438A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E95E" w14:textId="77777777" w:rsidR="00B438AF" w:rsidRDefault="00B438A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E8B69" w14:textId="77777777" w:rsidR="00D8628F" w:rsidRDefault="00D8628F">
      <w:r>
        <w:separator/>
      </w:r>
    </w:p>
  </w:footnote>
  <w:footnote w:type="continuationSeparator" w:id="0">
    <w:p w14:paraId="6BE4B5FC" w14:textId="77777777" w:rsidR="00D8628F" w:rsidRDefault="00D86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0E458" w14:textId="643EA2C4" w:rsidR="00B438AF" w:rsidRDefault="006C47E3">
    <w:pPr>
      <w:pStyle w:val="aa"/>
    </w:pPr>
    <w:proofErr w:type="gramStart"/>
    <w:r>
      <w:rPr>
        <w:rFonts w:hint="eastAsia"/>
      </w:rPr>
      <w:t>浦银安</w:t>
    </w:r>
    <w:proofErr w:type="gramEnd"/>
    <w:r>
      <w:rPr>
        <w:rFonts w:hint="eastAsia"/>
      </w:rPr>
      <w:t>盛周期优选混合型发起式证券投资基金</w:t>
    </w:r>
    <w:r>
      <w:rPr>
        <w:rFonts w:hint="eastAsia"/>
      </w:rPr>
      <w:t xml:space="preserve"> </w:t>
    </w:r>
    <w:r>
      <w:t xml:space="preserve">                                   </w:t>
    </w:r>
    <w:r w:rsidR="00B03CC9">
      <w:t xml:space="preserve">  </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BC70" w14:textId="77777777" w:rsidR="00B438AF" w:rsidRDefault="00B438A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2"/>
    <w:rsid w:val="8B7BA64B"/>
    <w:rsid w:val="9EEC2FDA"/>
    <w:rsid w:val="ADFF956F"/>
    <w:rsid w:val="B785C7CA"/>
    <w:rsid w:val="B7BCD0A3"/>
    <w:rsid w:val="B9BE5279"/>
    <w:rsid w:val="BC6B4322"/>
    <w:rsid w:val="BFD55DC2"/>
    <w:rsid w:val="BFFABFDA"/>
    <w:rsid w:val="CFFFC8DE"/>
    <w:rsid w:val="DDCEC459"/>
    <w:rsid w:val="DFE630C5"/>
    <w:rsid w:val="E2FFD708"/>
    <w:rsid w:val="E35E5976"/>
    <w:rsid w:val="E77E948D"/>
    <w:rsid w:val="E7FA916D"/>
    <w:rsid w:val="F52FCEE4"/>
    <w:rsid w:val="F7D6EE25"/>
    <w:rsid w:val="F7FE45AB"/>
    <w:rsid w:val="F7FF6C32"/>
    <w:rsid w:val="FBDEF80E"/>
    <w:rsid w:val="FD755021"/>
    <w:rsid w:val="FE6B0E92"/>
    <w:rsid w:val="FE7D54BF"/>
    <w:rsid w:val="FF333780"/>
    <w:rsid w:val="FF36983F"/>
    <w:rsid w:val="FFCFB805"/>
    <w:rsid w:val="0000121B"/>
    <w:rsid w:val="0000688E"/>
    <w:rsid w:val="00006E47"/>
    <w:rsid w:val="00010497"/>
    <w:rsid w:val="0001135E"/>
    <w:rsid w:val="000130E0"/>
    <w:rsid w:val="0001397E"/>
    <w:rsid w:val="00015B61"/>
    <w:rsid w:val="00042EF4"/>
    <w:rsid w:val="00051611"/>
    <w:rsid w:val="00056446"/>
    <w:rsid w:val="00060B4C"/>
    <w:rsid w:val="00062D3A"/>
    <w:rsid w:val="00062D92"/>
    <w:rsid w:val="00064B45"/>
    <w:rsid w:val="00070DE0"/>
    <w:rsid w:val="00076D21"/>
    <w:rsid w:val="000811F2"/>
    <w:rsid w:val="000813EC"/>
    <w:rsid w:val="00082B75"/>
    <w:rsid w:val="00093309"/>
    <w:rsid w:val="00097ADA"/>
    <w:rsid w:val="000A45F4"/>
    <w:rsid w:val="000A6416"/>
    <w:rsid w:val="000B2AB4"/>
    <w:rsid w:val="000C0756"/>
    <w:rsid w:val="000C596E"/>
    <w:rsid w:val="000C6FE5"/>
    <w:rsid w:val="000D2B53"/>
    <w:rsid w:val="000D5605"/>
    <w:rsid w:val="000D74F0"/>
    <w:rsid w:val="000E0D14"/>
    <w:rsid w:val="000E2200"/>
    <w:rsid w:val="000E341A"/>
    <w:rsid w:val="000E3E0A"/>
    <w:rsid w:val="000E6B0B"/>
    <w:rsid w:val="000F27CC"/>
    <w:rsid w:val="000F428A"/>
    <w:rsid w:val="000F5E09"/>
    <w:rsid w:val="000F6742"/>
    <w:rsid w:val="0010349A"/>
    <w:rsid w:val="00112093"/>
    <w:rsid w:val="001134FF"/>
    <w:rsid w:val="001148FA"/>
    <w:rsid w:val="001155F1"/>
    <w:rsid w:val="00116497"/>
    <w:rsid w:val="00123DE0"/>
    <w:rsid w:val="00124100"/>
    <w:rsid w:val="0012506E"/>
    <w:rsid w:val="001265D5"/>
    <w:rsid w:val="00127E18"/>
    <w:rsid w:val="0013025A"/>
    <w:rsid w:val="001322F3"/>
    <w:rsid w:val="001327B4"/>
    <w:rsid w:val="00135FD1"/>
    <w:rsid w:val="00136262"/>
    <w:rsid w:val="00140A8B"/>
    <w:rsid w:val="00141D17"/>
    <w:rsid w:val="00150346"/>
    <w:rsid w:val="00150B18"/>
    <w:rsid w:val="00157370"/>
    <w:rsid w:val="00163E39"/>
    <w:rsid w:val="0017392D"/>
    <w:rsid w:val="00187F0A"/>
    <w:rsid w:val="001A07B6"/>
    <w:rsid w:val="001A3439"/>
    <w:rsid w:val="001A74F5"/>
    <w:rsid w:val="001A7A19"/>
    <w:rsid w:val="001B3A8D"/>
    <w:rsid w:val="001C25AE"/>
    <w:rsid w:val="001C34BE"/>
    <w:rsid w:val="001C368B"/>
    <w:rsid w:val="001C41EB"/>
    <w:rsid w:val="001C5716"/>
    <w:rsid w:val="001C5A98"/>
    <w:rsid w:val="001D56F6"/>
    <w:rsid w:val="001D6A57"/>
    <w:rsid w:val="001F1E3A"/>
    <w:rsid w:val="001F2E3B"/>
    <w:rsid w:val="001F3E7F"/>
    <w:rsid w:val="001F76B3"/>
    <w:rsid w:val="002018C2"/>
    <w:rsid w:val="00203B36"/>
    <w:rsid w:val="00212966"/>
    <w:rsid w:val="00213A00"/>
    <w:rsid w:val="002146B3"/>
    <w:rsid w:val="00214CCE"/>
    <w:rsid w:val="0022735E"/>
    <w:rsid w:val="00232708"/>
    <w:rsid w:val="00237583"/>
    <w:rsid w:val="00240467"/>
    <w:rsid w:val="00242BCA"/>
    <w:rsid w:val="002501BE"/>
    <w:rsid w:val="00250405"/>
    <w:rsid w:val="002603E7"/>
    <w:rsid w:val="00260853"/>
    <w:rsid w:val="00265B98"/>
    <w:rsid w:val="0026622A"/>
    <w:rsid w:val="00266E59"/>
    <w:rsid w:val="002768E1"/>
    <w:rsid w:val="0028070D"/>
    <w:rsid w:val="00282036"/>
    <w:rsid w:val="0028364F"/>
    <w:rsid w:val="00287171"/>
    <w:rsid w:val="00292908"/>
    <w:rsid w:val="002930BE"/>
    <w:rsid w:val="00293EE1"/>
    <w:rsid w:val="00295230"/>
    <w:rsid w:val="00296FB8"/>
    <w:rsid w:val="002A2445"/>
    <w:rsid w:val="002C1BC2"/>
    <w:rsid w:val="002D160F"/>
    <w:rsid w:val="002D17BD"/>
    <w:rsid w:val="002D6695"/>
    <w:rsid w:val="00304D90"/>
    <w:rsid w:val="00311042"/>
    <w:rsid w:val="00311BB3"/>
    <w:rsid w:val="003148F0"/>
    <w:rsid w:val="00316BBE"/>
    <w:rsid w:val="00325DA8"/>
    <w:rsid w:val="0033753A"/>
    <w:rsid w:val="003406EF"/>
    <w:rsid w:val="003427EC"/>
    <w:rsid w:val="00344644"/>
    <w:rsid w:val="0035499C"/>
    <w:rsid w:val="00355540"/>
    <w:rsid w:val="0035783F"/>
    <w:rsid w:val="00363848"/>
    <w:rsid w:val="00376451"/>
    <w:rsid w:val="00387928"/>
    <w:rsid w:val="003A1FC4"/>
    <w:rsid w:val="003A3358"/>
    <w:rsid w:val="003B1986"/>
    <w:rsid w:val="003C106A"/>
    <w:rsid w:val="003C2100"/>
    <w:rsid w:val="003D25E4"/>
    <w:rsid w:val="003D73F6"/>
    <w:rsid w:val="003E023C"/>
    <w:rsid w:val="003E1A67"/>
    <w:rsid w:val="003E3B61"/>
    <w:rsid w:val="003F0CB4"/>
    <w:rsid w:val="003F21AD"/>
    <w:rsid w:val="003F2738"/>
    <w:rsid w:val="003F6197"/>
    <w:rsid w:val="003F7709"/>
    <w:rsid w:val="004136FD"/>
    <w:rsid w:val="004200BC"/>
    <w:rsid w:val="004218BB"/>
    <w:rsid w:val="004226B2"/>
    <w:rsid w:val="004257EF"/>
    <w:rsid w:val="00425962"/>
    <w:rsid w:val="00425C57"/>
    <w:rsid w:val="004269AB"/>
    <w:rsid w:val="00430302"/>
    <w:rsid w:val="0043240B"/>
    <w:rsid w:val="004352B5"/>
    <w:rsid w:val="00441C1A"/>
    <w:rsid w:val="004426C4"/>
    <w:rsid w:val="004504E3"/>
    <w:rsid w:val="00450769"/>
    <w:rsid w:val="00462B43"/>
    <w:rsid w:val="0046683D"/>
    <w:rsid w:val="00466D37"/>
    <w:rsid w:val="00481081"/>
    <w:rsid w:val="00487DD8"/>
    <w:rsid w:val="0049424F"/>
    <w:rsid w:val="004970B1"/>
    <w:rsid w:val="004B0FB2"/>
    <w:rsid w:val="004B38A4"/>
    <w:rsid w:val="004C019B"/>
    <w:rsid w:val="004C15F0"/>
    <w:rsid w:val="004D0084"/>
    <w:rsid w:val="004D12D2"/>
    <w:rsid w:val="004D5D05"/>
    <w:rsid w:val="004E061E"/>
    <w:rsid w:val="004E123B"/>
    <w:rsid w:val="004E181A"/>
    <w:rsid w:val="004E2082"/>
    <w:rsid w:val="004E4D1C"/>
    <w:rsid w:val="004E5B2A"/>
    <w:rsid w:val="004E64BB"/>
    <w:rsid w:val="004F287A"/>
    <w:rsid w:val="004F554B"/>
    <w:rsid w:val="00501A3C"/>
    <w:rsid w:val="00503139"/>
    <w:rsid w:val="0050611B"/>
    <w:rsid w:val="005109AD"/>
    <w:rsid w:val="00511474"/>
    <w:rsid w:val="0052278C"/>
    <w:rsid w:val="00534C7C"/>
    <w:rsid w:val="00546309"/>
    <w:rsid w:val="00550344"/>
    <w:rsid w:val="0055068B"/>
    <w:rsid w:val="005535F3"/>
    <w:rsid w:val="00562238"/>
    <w:rsid w:val="00566964"/>
    <w:rsid w:val="005726F5"/>
    <w:rsid w:val="005822A3"/>
    <w:rsid w:val="005824BE"/>
    <w:rsid w:val="005853C5"/>
    <w:rsid w:val="00596CC4"/>
    <w:rsid w:val="0059733E"/>
    <w:rsid w:val="00597AA5"/>
    <w:rsid w:val="005A335D"/>
    <w:rsid w:val="005A36F4"/>
    <w:rsid w:val="005B7293"/>
    <w:rsid w:val="005C1178"/>
    <w:rsid w:val="005C176E"/>
    <w:rsid w:val="005C1EDA"/>
    <w:rsid w:val="005C31D3"/>
    <w:rsid w:val="005C3378"/>
    <w:rsid w:val="005D0B0F"/>
    <w:rsid w:val="005D19E9"/>
    <w:rsid w:val="005D72B7"/>
    <w:rsid w:val="005E24C1"/>
    <w:rsid w:val="005E4B55"/>
    <w:rsid w:val="005E5EFB"/>
    <w:rsid w:val="005E5F67"/>
    <w:rsid w:val="005F69DD"/>
    <w:rsid w:val="005F710F"/>
    <w:rsid w:val="006002B3"/>
    <w:rsid w:val="00630B02"/>
    <w:rsid w:val="006429A1"/>
    <w:rsid w:val="00645DC7"/>
    <w:rsid w:val="006546A6"/>
    <w:rsid w:val="0065786C"/>
    <w:rsid w:val="00661A8F"/>
    <w:rsid w:val="00662714"/>
    <w:rsid w:val="006738A7"/>
    <w:rsid w:val="00675654"/>
    <w:rsid w:val="00681D09"/>
    <w:rsid w:val="00681F53"/>
    <w:rsid w:val="00683B37"/>
    <w:rsid w:val="0069338A"/>
    <w:rsid w:val="006A0988"/>
    <w:rsid w:val="006A7126"/>
    <w:rsid w:val="006B28CE"/>
    <w:rsid w:val="006B420C"/>
    <w:rsid w:val="006B58DF"/>
    <w:rsid w:val="006B7986"/>
    <w:rsid w:val="006C47E3"/>
    <w:rsid w:val="006C6A01"/>
    <w:rsid w:val="006C727F"/>
    <w:rsid w:val="006D4FA4"/>
    <w:rsid w:val="006E1D53"/>
    <w:rsid w:val="006F5115"/>
    <w:rsid w:val="0070153D"/>
    <w:rsid w:val="0070257C"/>
    <w:rsid w:val="00702625"/>
    <w:rsid w:val="0070633A"/>
    <w:rsid w:val="0071167C"/>
    <w:rsid w:val="00717FB4"/>
    <w:rsid w:val="00730227"/>
    <w:rsid w:val="00733205"/>
    <w:rsid w:val="00743EC6"/>
    <w:rsid w:val="007445FC"/>
    <w:rsid w:val="00752776"/>
    <w:rsid w:val="007615BE"/>
    <w:rsid w:val="0076251B"/>
    <w:rsid w:val="00762BCE"/>
    <w:rsid w:val="007659F5"/>
    <w:rsid w:val="007837F1"/>
    <w:rsid w:val="0078689D"/>
    <w:rsid w:val="00787CAA"/>
    <w:rsid w:val="00794D07"/>
    <w:rsid w:val="0079524D"/>
    <w:rsid w:val="007A035F"/>
    <w:rsid w:val="007B3F36"/>
    <w:rsid w:val="007D1E95"/>
    <w:rsid w:val="007E1412"/>
    <w:rsid w:val="007F0282"/>
    <w:rsid w:val="007F239C"/>
    <w:rsid w:val="007F44E0"/>
    <w:rsid w:val="008017A3"/>
    <w:rsid w:val="00805983"/>
    <w:rsid w:val="008101F9"/>
    <w:rsid w:val="00811A83"/>
    <w:rsid w:val="0081385A"/>
    <w:rsid w:val="00821D03"/>
    <w:rsid w:val="00823925"/>
    <w:rsid w:val="0083540C"/>
    <w:rsid w:val="0083585C"/>
    <w:rsid w:val="0084120C"/>
    <w:rsid w:val="00843476"/>
    <w:rsid w:val="00845C9F"/>
    <w:rsid w:val="00853175"/>
    <w:rsid w:val="0086051A"/>
    <w:rsid w:val="00864DEF"/>
    <w:rsid w:val="008671DA"/>
    <w:rsid w:val="008678AA"/>
    <w:rsid w:val="008720C6"/>
    <w:rsid w:val="008767B9"/>
    <w:rsid w:val="008770BA"/>
    <w:rsid w:val="00880764"/>
    <w:rsid w:val="008822D5"/>
    <w:rsid w:val="008836C1"/>
    <w:rsid w:val="008864E2"/>
    <w:rsid w:val="0089004A"/>
    <w:rsid w:val="0089222D"/>
    <w:rsid w:val="00892EB4"/>
    <w:rsid w:val="0089566B"/>
    <w:rsid w:val="008958AB"/>
    <w:rsid w:val="00896ADB"/>
    <w:rsid w:val="008A3DAA"/>
    <w:rsid w:val="008A61DD"/>
    <w:rsid w:val="008B1EC1"/>
    <w:rsid w:val="008B2655"/>
    <w:rsid w:val="008B3DED"/>
    <w:rsid w:val="008B4850"/>
    <w:rsid w:val="008C1838"/>
    <w:rsid w:val="008E5DEA"/>
    <w:rsid w:val="008E78A5"/>
    <w:rsid w:val="008F0303"/>
    <w:rsid w:val="008F03FB"/>
    <w:rsid w:val="008F3181"/>
    <w:rsid w:val="008F466F"/>
    <w:rsid w:val="008F47E4"/>
    <w:rsid w:val="0090108A"/>
    <w:rsid w:val="009024D0"/>
    <w:rsid w:val="009101CA"/>
    <w:rsid w:val="0091054C"/>
    <w:rsid w:val="009112D8"/>
    <w:rsid w:val="0091243F"/>
    <w:rsid w:val="00914177"/>
    <w:rsid w:val="00917721"/>
    <w:rsid w:val="009328F1"/>
    <w:rsid w:val="00945BF4"/>
    <w:rsid w:val="0096243C"/>
    <w:rsid w:val="00965ED3"/>
    <w:rsid w:val="009730BC"/>
    <w:rsid w:val="009733CE"/>
    <w:rsid w:val="00981730"/>
    <w:rsid w:val="0098210D"/>
    <w:rsid w:val="00983B5C"/>
    <w:rsid w:val="00984640"/>
    <w:rsid w:val="00985E67"/>
    <w:rsid w:val="009C5A2E"/>
    <w:rsid w:val="009C7DAD"/>
    <w:rsid w:val="009D5A0C"/>
    <w:rsid w:val="009E52D4"/>
    <w:rsid w:val="009E5A15"/>
    <w:rsid w:val="009F1453"/>
    <w:rsid w:val="009F430E"/>
    <w:rsid w:val="009F4D3A"/>
    <w:rsid w:val="009F5CD6"/>
    <w:rsid w:val="00A01902"/>
    <w:rsid w:val="00A01BAF"/>
    <w:rsid w:val="00A03F3B"/>
    <w:rsid w:val="00A11745"/>
    <w:rsid w:val="00A11919"/>
    <w:rsid w:val="00A11D7C"/>
    <w:rsid w:val="00A166ED"/>
    <w:rsid w:val="00A20915"/>
    <w:rsid w:val="00A24943"/>
    <w:rsid w:val="00A31280"/>
    <w:rsid w:val="00A32DA9"/>
    <w:rsid w:val="00A40575"/>
    <w:rsid w:val="00A40C47"/>
    <w:rsid w:val="00A44BDC"/>
    <w:rsid w:val="00A46D25"/>
    <w:rsid w:val="00A538F6"/>
    <w:rsid w:val="00A542FA"/>
    <w:rsid w:val="00A56227"/>
    <w:rsid w:val="00A613D5"/>
    <w:rsid w:val="00A702FB"/>
    <w:rsid w:val="00A73026"/>
    <w:rsid w:val="00A74BD1"/>
    <w:rsid w:val="00A8712E"/>
    <w:rsid w:val="00A90481"/>
    <w:rsid w:val="00A96D44"/>
    <w:rsid w:val="00A974BB"/>
    <w:rsid w:val="00A97CC6"/>
    <w:rsid w:val="00AA0068"/>
    <w:rsid w:val="00AA0AED"/>
    <w:rsid w:val="00AA3C85"/>
    <w:rsid w:val="00AA4A03"/>
    <w:rsid w:val="00AD14FA"/>
    <w:rsid w:val="00AD1D2A"/>
    <w:rsid w:val="00AD2B04"/>
    <w:rsid w:val="00AE1753"/>
    <w:rsid w:val="00AE5C76"/>
    <w:rsid w:val="00AF2053"/>
    <w:rsid w:val="00B0091A"/>
    <w:rsid w:val="00B03CC9"/>
    <w:rsid w:val="00B03E8B"/>
    <w:rsid w:val="00B06EE9"/>
    <w:rsid w:val="00B07AD4"/>
    <w:rsid w:val="00B163C8"/>
    <w:rsid w:val="00B16EAA"/>
    <w:rsid w:val="00B171F3"/>
    <w:rsid w:val="00B20AAD"/>
    <w:rsid w:val="00B23918"/>
    <w:rsid w:val="00B240E0"/>
    <w:rsid w:val="00B30EA5"/>
    <w:rsid w:val="00B31D89"/>
    <w:rsid w:val="00B33620"/>
    <w:rsid w:val="00B36311"/>
    <w:rsid w:val="00B40DE4"/>
    <w:rsid w:val="00B438AF"/>
    <w:rsid w:val="00B52F7B"/>
    <w:rsid w:val="00B565B5"/>
    <w:rsid w:val="00B7073A"/>
    <w:rsid w:val="00B72415"/>
    <w:rsid w:val="00B74856"/>
    <w:rsid w:val="00B82623"/>
    <w:rsid w:val="00B93A53"/>
    <w:rsid w:val="00BA0F8D"/>
    <w:rsid w:val="00BA65E8"/>
    <w:rsid w:val="00BC437C"/>
    <w:rsid w:val="00BC6B7F"/>
    <w:rsid w:val="00BC7A80"/>
    <w:rsid w:val="00BD457F"/>
    <w:rsid w:val="00BD685F"/>
    <w:rsid w:val="00BD689E"/>
    <w:rsid w:val="00BE340F"/>
    <w:rsid w:val="00BE5794"/>
    <w:rsid w:val="00BF1169"/>
    <w:rsid w:val="00BF37FF"/>
    <w:rsid w:val="00BF40CD"/>
    <w:rsid w:val="00BF7875"/>
    <w:rsid w:val="00C068BC"/>
    <w:rsid w:val="00C10468"/>
    <w:rsid w:val="00C1094F"/>
    <w:rsid w:val="00C13559"/>
    <w:rsid w:val="00C15A88"/>
    <w:rsid w:val="00C27460"/>
    <w:rsid w:val="00C31156"/>
    <w:rsid w:val="00C40A7A"/>
    <w:rsid w:val="00C458BD"/>
    <w:rsid w:val="00C53B58"/>
    <w:rsid w:val="00C5703F"/>
    <w:rsid w:val="00C60A1B"/>
    <w:rsid w:val="00C61431"/>
    <w:rsid w:val="00C62C65"/>
    <w:rsid w:val="00C70D44"/>
    <w:rsid w:val="00C734A5"/>
    <w:rsid w:val="00C736FA"/>
    <w:rsid w:val="00C77AD3"/>
    <w:rsid w:val="00C77DE3"/>
    <w:rsid w:val="00C846C3"/>
    <w:rsid w:val="00C90245"/>
    <w:rsid w:val="00C959B7"/>
    <w:rsid w:val="00CA0DED"/>
    <w:rsid w:val="00CB09E3"/>
    <w:rsid w:val="00CB2403"/>
    <w:rsid w:val="00CB5072"/>
    <w:rsid w:val="00CC0E8C"/>
    <w:rsid w:val="00CC1093"/>
    <w:rsid w:val="00CC6983"/>
    <w:rsid w:val="00CC7295"/>
    <w:rsid w:val="00CC7B73"/>
    <w:rsid w:val="00CD085D"/>
    <w:rsid w:val="00CD1B3F"/>
    <w:rsid w:val="00CD2788"/>
    <w:rsid w:val="00CD2A9D"/>
    <w:rsid w:val="00CD66C0"/>
    <w:rsid w:val="00CE093B"/>
    <w:rsid w:val="00CE2963"/>
    <w:rsid w:val="00CE6ADD"/>
    <w:rsid w:val="00CF0BDC"/>
    <w:rsid w:val="00CF5708"/>
    <w:rsid w:val="00CF72CA"/>
    <w:rsid w:val="00CF7959"/>
    <w:rsid w:val="00D032B1"/>
    <w:rsid w:val="00D1054B"/>
    <w:rsid w:val="00D13FDA"/>
    <w:rsid w:val="00D1743A"/>
    <w:rsid w:val="00D20C86"/>
    <w:rsid w:val="00D2187E"/>
    <w:rsid w:val="00D22664"/>
    <w:rsid w:val="00D40DE5"/>
    <w:rsid w:val="00D43A88"/>
    <w:rsid w:val="00D47F61"/>
    <w:rsid w:val="00D52B0F"/>
    <w:rsid w:val="00D614EC"/>
    <w:rsid w:val="00D63372"/>
    <w:rsid w:val="00D633DE"/>
    <w:rsid w:val="00D67E4B"/>
    <w:rsid w:val="00D8628F"/>
    <w:rsid w:val="00D9061F"/>
    <w:rsid w:val="00DA17FF"/>
    <w:rsid w:val="00DA1B1B"/>
    <w:rsid w:val="00DA795C"/>
    <w:rsid w:val="00DB00C4"/>
    <w:rsid w:val="00DB6273"/>
    <w:rsid w:val="00DC76DF"/>
    <w:rsid w:val="00DD063D"/>
    <w:rsid w:val="00DD1436"/>
    <w:rsid w:val="00DE4EBC"/>
    <w:rsid w:val="00DE662D"/>
    <w:rsid w:val="00DF0715"/>
    <w:rsid w:val="00DF154A"/>
    <w:rsid w:val="00DF17E0"/>
    <w:rsid w:val="00E07807"/>
    <w:rsid w:val="00E1153E"/>
    <w:rsid w:val="00E1211B"/>
    <w:rsid w:val="00E14F00"/>
    <w:rsid w:val="00E154BF"/>
    <w:rsid w:val="00E15D1B"/>
    <w:rsid w:val="00E26997"/>
    <w:rsid w:val="00E27E27"/>
    <w:rsid w:val="00E304A2"/>
    <w:rsid w:val="00E322D3"/>
    <w:rsid w:val="00E36351"/>
    <w:rsid w:val="00E37A0F"/>
    <w:rsid w:val="00E423C1"/>
    <w:rsid w:val="00E425FA"/>
    <w:rsid w:val="00E5028C"/>
    <w:rsid w:val="00E63307"/>
    <w:rsid w:val="00E6495B"/>
    <w:rsid w:val="00E6557C"/>
    <w:rsid w:val="00E73326"/>
    <w:rsid w:val="00E809C7"/>
    <w:rsid w:val="00E81FF8"/>
    <w:rsid w:val="00E85923"/>
    <w:rsid w:val="00E94313"/>
    <w:rsid w:val="00E96345"/>
    <w:rsid w:val="00EA20AB"/>
    <w:rsid w:val="00EA36C3"/>
    <w:rsid w:val="00EB03B2"/>
    <w:rsid w:val="00EB040F"/>
    <w:rsid w:val="00EB1081"/>
    <w:rsid w:val="00EB5AA6"/>
    <w:rsid w:val="00EB5C13"/>
    <w:rsid w:val="00EC3B96"/>
    <w:rsid w:val="00EC485E"/>
    <w:rsid w:val="00ED3A46"/>
    <w:rsid w:val="00ED600A"/>
    <w:rsid w:val="00ED6FD1"/>
    <w:rsid w:val="00EE01C2"/>
    <w:rsid w:val="00EE0BC0"/>
    <w:rsid w:val="00EE1276"/>
    <w:rsid w:val="00EE587E"/>
    <w:rsid w:val="00EE5B21"/>
    <w:rsid w:val="00EF0193"/>
    <w:rsid w:val="00EF3C41"/>
    <w:rsid w:val="00EF4AE8"/>
    <w:rsid w:val="00EF5D92"/>
    <w:rsid w:val="00F06EF6"/>
    <w:rsid w:val="00F14784"/>
    <w:rsid w:val="00F17B64"/>
    <w:rsid w:val="00F21352"/>
    <w:rsid w:val="00F22BBD"/>
    <w:rsid w:val="00F24EDD"/>
    <w:rsid w:val="00F32307"/>
    <w:rsid w:val="00F3473D"/>
    <w:rsid w:val="00F413D0"/>
    <w:rsid w:val="00F414D8"/>
    <w:rsid w:val="00F434E0"/>
    <w:rsid w:val="00F43824"/>
    <w:rsid w:val="00F55901"/>
    <w:rsid w:val="00F57DDE"/>
    <w:rsid w:val="00F678A8"/>
    <w:rsid w:val="00F9324E"/>
    <w:rsid w:val="00F93F3A"/>
    <w:rsid w:val="00FA1054"/>
    <w:rsid w:val="00FA3CF0"/>
    <w:rsid w:val="00FB02AB"/>
    <w:rsid w:val="00FB0981"/>
    <w:rsid w:val="00FC3889"/>
    <w:rsid w:val="00FC3E6A"/>
    <w:rsid w:val="00FD275B"/>
    <w:rsid w:val="00FD5127"/>
    <w:rsid w:val="00FD5756"/>
    <w:rsid w:val="00FE0BCE"/>
    <w:rsid w:val="00FE1A59"/>
    <w:rsid w:val="00FE382F"/>
    <w:rsid w:val="00FE579E"/>
    <w:rsid w:val="00FF6833"/>
    <w:rsid w:val="1A7E898B"/>
    <w:rsid w:val="2ECD5B58"/>
    <w:rsid w:val="2FEB0167"/>
    <w:rsid w:val="357E7BCA"/>
    <w:rsid w:val="3FE73F33"/>
    <w:rsid w:val="3FF7B4CD"/>
    <w:rsid w:val="4A56BDAA"/>
    <w:rsid w:val="4BFFB06F"/>
    <w:rsid w:val="4FFC8041"/>
    <w:rsid w:val="5346114D"/>
    <w:rsid w:val="5BF77CAD"/>
    <w:rsid w:val="64EFEF2C"/>
    <w:rsid w:val="70FCF87D"/>
    <w:rsid w:val="79FF0124"/>
    <w:rsid w:val="7BF7060D"/>
    <w:rsid w:val="7BFDB576"/>
    <w:rsid w:val="7EBD2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BCE2F"/>
  <w15:docId w15:val="{256F9DC0-4DA8-487E-A397-8A33246E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2"/>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3"/>
    <w:qFormat/>
    <w:pPr>
      <w:jc w:val="left"/>
    </w:pPr>
  </w:style>
  <w:style w:type="paragraph" w:styleId="a5">
    <w:name w:val="Body Text"/>
    <w:basedOn w:val="a"/>
    <w:link w:val="20"/>
    <w:qFormat/>
    <w:pPr>
      <w:spacing w:line="360" w:lineRule="auto"/>
    </w:pPr>
    <w:rPr>
      <w:rFonts w:ascii="仿宋_GB2312" w:eastAsia="仿宋_GB2312"/>
      <w:color w:val="000000"/>
      <w:kern w:val="0"/>
      <w:sz w:val="24"/>
      <w:szCs w:val="28"/>
    </w:rPr>
  </w:style>
  <w:style w:type="paragraph" w:styleId="a6">
    <w:name w:val="Body Text Indent"/>
    <w:basedOn w:val="a"/>
    <w:link w:val="2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0">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3">
    <w:name w:val="Body Text Indent 2"/>
    <w:basedOn w:val="a"/>
    <w:link w:val="220"/>
    <w:qFormat/>
    <w:pPr>
      <w:spacing w:line="360" w:lineRule="auto"/>
      <w:ind w:firstLine="525"/>
    </w:pPr>
    <w:rPr>
      <w:rFonts w:ascii="宋体" w:hAnsi="宋体"/>
      <w:sz w:val="28"/>
      <w:szCs w:val="20"/>
    </w:rPr>
  </w:style>
  <w:style w:type="paragraph" w:styleId="a7">
    <w:name w:val="Balloon Text"/>
    <w:basedOn w:val="a"/>
    <w:link w:val="24"/>
    <w:semiHidden/>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1">
    <w:name w:val="Body Text Indent 3"/>
    <w:basedOn w:val="a"/>
    <w:link w:val="32"/>
    <w:qFormat/>
    <w:pPr>
      <w:adjustRightInd w:val="0"/>
      <w:snapToGrid w:val="0"/>
      <w:ind w:firstLineChars="200" w:firstLine="480"/>
    </w:pPr>
    <w:rPr>
      <w:rFonts w:ascii="仿宋_GB2312" w:eastAsia="仿宋_GB2312" w:hAnsi="宋体" w:cs="Arial"/>
      <w:color w:val="000000"/>
      <w:sz w:val="24"/>
    </w:rPr>
  </w:style>
  <w:style w:type="paragraph" w:styleId="25">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2"/>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4"/>
    <w:next w:val="a4"/>
    <w:link w:val="26"/>
    <w:qFormat/>
    <w:rPr>
      <w:b/>
      <w:bCs/>
    </w:rPr>
  </w:style>
  <w:style w:type="character" w:styleId="ae">
    <w:name w:val="Strong"/>
    <w:qFormat/>
    <w:rPr>
      <w:b/>
      <w:bCs/>
    </w:rPr>
  </w:style>
  <w:style w:type="character" w:styleId="af">
    <w:name w:val="page number"/>
    <w:qFormat/>
  </w:style>
  <w:style w:type="character" w:styleId="af0">
    <w:name w:val="FollowedHyperlink"/>
    <w:uiPriority w:val="99"/>
    <w:unhideWhenUsed/>
    <w:qFormat/>
    <w:rPr>
      <w:color w:val="800080"/>
      <w:u w:val="single"/>
    </w:rPr>
  </w:style>
  <w:style w:type="character" w:styleId="af1">
    <w:name w:val="Hyperlink"/>
    <w:qFormat/>
    <w:rPr>
      <w:color w:val="0000FF"/>
      <w:u w:val="single"/>
    </w:rPr>
  </w:style>
  <w:style w:type="character" w:styleId="af2">
    <w:name w:val="annotation reference"/>
    <w:qFormat/>
    <w:rPr>
      <w:sz w:val="21"/>
      <w:szCs w:val="21"/>
    </w:rPr>
  </w:style>
  <w:style w:type="character" w:customStyle="1" w:styleId="ab">
    <w:name w:val="页眉 字符"/>
    <w:link w:val="aa"/>
    <w:uiPriority w:val="99"/>
    <w:qFormat/>
    <w:rPr>
      <w:sz w:val="18"/>
      <w:szCs w:val="18"/>
    </w:rPr>
  </w:style>
  <w:style w:type="character" w:customStyle="1" w:styleId="a9">
    <w:name w:val="页脚 字符"/>
    <w:link w:val="a8"/>
    <w:uiPriority w:val="99"/>
    <w:qFormat/>
    <w:rPr>
      <w:sz w:val="18"/>
      <w:szCs w:val="18"/>
    </w:rPr>
  </w:style>
  <w:style w:type="character" w:customStyle="1" w:styleId="27">
    <w:name w:val="标题 2 字符"/>
    <w:uiPriority w:val="9"/>
    <w:semiHidden/>
    <w:qFormat/>
    <w:rPr>
      <w:rFonts w:ascii="等线 Light" w:eastAsia="等线 Light" w:hAnsi="等线 Light" w:cs="Times New Roman"/>
      <w:b/>
      <w:bCs/>
      <w:sz w:val="32"/>
      <w:szCs w:val="32"/>
    </w:rPr>
  </w:style>
  <w:style w:type="character" w:customStyle="1" w:styleId="Char">
    <w:name w:val="页眉 Char"/>
    <w:uiPriority w:val="99"/>
    <w:qFormat/>
    <w:rPr>
      <w:sz w:val="18"/>
      <w:szCs w:val="18"/>
    </w:rPr>
  </w:style>
  <w:style w:type="character" w:customStyle="1" w:styleId="Char0">
    <w:name w:val="页脚 Char"/>
    <w:uiPriority w:val="99"/>
    <w:qFormat/>
    <w:rPr>
      <w:sz w:val="18"/>
      <w:szCs w:val="18"/>
    </w:rPr>
  </w:style>
  <w:style w:type="character" w:customStyle="1" w:styleId="22">
    <w:name w:val="标题 2 字符2"/>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f3">
    <w:name w:val="正文文本 字符"/>
    <w:uiPriority w:val="99"/>
    <w:semiHidden/>
    <w:qFormat/>
    <w:rPr>
      <w:rFonts w:ascii="Times New Roman" w:eastAsia="宋体" w:hAnsi="Times New Roman" w:cs="Times New Roman"/>
      <w:szCs w:val="24"/>
    </w:rPr>
  </w:style>
  <w:style w:type="character" w:customStyle="1" w:styleId="20">
    <w:name w:val="正文文本 字符2"/>
    <w:link w:val="a5"/>
    <w:qFormat/>
    <w:rPr>
      <w:rFonts w:ascii="仿宋_GB2312" w:eastAsia="仿宋_GB2312" w:hAnsi="Times New Roman" w:cs="Times New Roman"/>
      <w:color w:val="000000"/>
      <w:kern w:val="0"/>
      <w:sz w:val="24"/>
      <w:szCs w:val="28"/>
    </w:rPr>
  </w:style>
  <w:style w:type="character" w:customStyle="1" w:styleId="read">
    <w:name w:val="read"/>
    <w:qFormat/>
  </w:style>
  <w:style w:type="character" w:customStyle="1" w:styleId="af4">
    <w:name w:val="正文文本缩进 字符"/>
    <w:uiPriority w:val="99"/>
    <w:semiHidden/>
    <w:qFormat/>
    <w:rPr>
      <w:rFonts w:ascii="Times New Roman" w:eastAsia="宋体" w:hAnsi="Times New Roman" w:cs="Times New Roman"/>
      <w:szCs w:val="24"/>
    </w:rPr>
  </w:style>
  <w:style w:type="character" w:customStyle="1" w:styleId="21">
    <w:name w:val="正文文本缩进 字符2"/>
    <w:link w:val="a6"/>
    <w:qFormat/>
    <w:rPr>
      <w:rFonts w:ascii="Times New Roman" w:eastAsia="方正仿宋简体" w:hAnsi="Times New Roman" w:cs="Times New Roman"/>
      <w:sz w:val="24"/>
      <w:szCs w:val="30"/>
    </w:rPr>
  </w:style>
  <w:style w:type="character" w:customStyle="1" w:styleId="28">
    <w:name w:val="正文文本缩进 2 字符"/>
    <w:uiPriority w:val="99"/>
    <w:semiHidden/>
    <w:qFormat/>
    <w:rPr>
      <w:rFonts w:ascii="Times New Roman" w:eastAsia="宋体" w:hAnsi="Times New Roman" w:cs="Times New Roman"/>
      <w:szCs w:val="24"/>
    </w:rPr>
  </w:style>
  <w:style w:type="character" w:customStyle="1" w:styleId="220">
    <w:name w:val="正文文本缩进 2 字符2"/>
    <w:link w:val="23"/>
    <w:qFormat/>
    <w:rPr>
      <w:rFonts w:ascii="宋体" w:eastAsia="宋体" w:hAnsi="宋体" w:cs="Times New Roman"/>
      <w:sz w:val="28"/>
      <w:szCs w:val="20"/>
    </w:rPr>
  </w:style>
  <w:style w:type="character" w:customStyle="1" w:styleId="33">
    <w:name w:val="正文文本缩进 3 字符"/>
    <w:uiPriority w:val="99"/>
    <w:semiHidden/>
    <w:qFormat/>
    <w:rPr>
      <w:rFonts w:ascii="Times New Roman" w:eastAsia="宋体" w:hAnsi="Times New Roman" w:cs="Times New Roman"/>
      <w:sz w:val="16"/>
      <w:szCs w:val="16"/>
    </w:rPr>
  </w:style>
  <w:style w:type="character" w:customStyle="1" w:styleId="32">
    <w:name w:val="正文文本缩进 3 字符2"/>
    <w:link w:val="31"/>
    <w:qFormat/>
    <w:rPr>
      <w:rFonts w:ascii="仿宋_GB2312" w:eastAsia="仿宋_GB2312" w:hAnsi="宋体" w:cs="Arial"/>
      <w:color w:val="000000"/>
      <w:sz w:val="24"/>
      <w:szCs w:val="24"/>
    </w:rPr>
  </w:style>
  <w:style w:type="character" w:customStyle="1" w:styleId="af5">
    <w:name w:val="批注框文本 字符"/>
    <w:uiPriority w:val="99"/>
    <w:semiHidden/>
    <w:qFormat/>
    <w:rPr>
      <w:rFonts w:ascii="Times New Roman" w:eastAsia="宋体" w:hAnsi="Times New Roman" w:cs="Times New Roman"/>
      <w:sz w:val="18"/>
      <w:szCs w:val="18"/>
    </w:rPr>
  </w:style>
  <w:style w:type="character" w:customStyle="1" w:styleId="24">
    <w:name w:val="批注框文本 字符2"/>
    <w:link w:val="a7"/>
    <w:semiHidden/>
    <w:qFormat/>
    <w:rPr>
      <w:rFonts w:ascii="Times New Roman" w:eastAsia="宋体" w:hAnsi="Times New Roman" w:cs="Times New Roman"/>
      <w:sz w:val="18"/>
      <w:szCs w:val="18"/>
    </w:rPr>
  </w:style>
  <w:style w:type="paragraph" w:customStyle="1" w:styleId="Char1">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af6">
    <w:name w:val="批注文字 字符"/>
    <w:semiHidden/>
    <w:qFormat/>
    <w:rPr>
      <w:rFonts w:ascii="Times New Roman" w:eastAsia="宋体" w:hAnsi="Times New Roman" w:cs="Times New Roman"/>
      <w:szCs w:val="24"/>
    </w:rPr>
  </w:style>
  <w:style w:type="character" w:customStyle="1" w:styleId="3">
    <w:name w:val="批注文字 字符3"/>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0">
    <w:name w:val="HTML 预设格式 字符"/>
    <w:uiPriority w:val="99"/>
    <w:semiHidden/>
    <w:qFormat/>
    <w:rPr>
      <w:rFonts w:ascii="Courier New" w:eastAsia="宋体" w:hAnsi="Courier New" w:cs="Courier New"/>
      <w:sz w:val="20"/>
      <w:szCs w:val="20"/>
    </w:rPr>
  </w:style>
  <w:style w:type="character" w:customStyle="1" w:styleId="HTML2">
    <w:name w:val="HTML 预设格式 字符2"/>
    <w:link w:val="HTML"/>
    <w:uiPriority w:val="99"/>
    <w:qFormat/>
    <w:rPr>
      <w:rFonts w:ascii="宋体" w:eastAsia="宋体" w:hAnsi="宋体" w:cs="宋体"/>
      <w:kern w:val="0"/>
      <w:sz w:val="24"/>
      <w:szCs w:val="24"/>
    </w:rPr>
  </w:style>
  <w:style w:type="character" w:customStyle="1" w:styleId="af7">
    <w:name w:val="批注主题 字符"/>
    <w:uiPriority w:val="99"/>
    <w:semiHidden/>
    <w:qFormat/>
    <w:rPr>
      <w:rFonts w:ascii="Times New Roman" w:eastAsia="宋体" w:hAnsi="Times New Roman" w:cs="Times New Roman"/>
      <w:b/>
      <w:bCs/>
      <w:szCs w:val="24"/>
    </w:rPr>
  </w:style>
  <w:style w:type="character" w:customStyle="1" w:styleId="26">
    <w:name w:val="批注主题 字符2"/>
    <w:link w:val="ad"/>
    <w:qFormat/>
    <w:rPr>
      <w:rFonts w:ascii="Times New Roman" w:eastAsia="宋体" w:hAnsi="Times New Roman" w:cs="Times New Roman"/>
      <w:b/>
      <w:bCs/>
      <w:szCs w:val="24"/>
    </w:rPr>
  </w:style>
  <w:style w:type="paragraph" w:customStyle="1" w:styleId="10">
    <w:name w:val="修订1"/>
    <w:uiPriority w:val="99"/>
    <w:semiHidden/>
    <w:qFormat/>
    <w:rPr>
      <w:kern w:val="2"/>
      <w:sz w:val="21"/>
      <w:szCs w:val="24"/>
    </w:rPr>
  </w:style>
  <w:style w:type="character" w:customStyle="1" w:styleId="im-content1">
    <w:name w:val="im-content1"/>
    <w:qFormat/>
    <w:rPr>
      <w:color w:val="000000"/>
    </w:rPr>
  </w:style>
  <w:style w:type="character" w:customStyle="1" w:styleId="29">
    <w:name w:val="页眉 字符2"/>
    <w:qFormat/>
    <w:rPr>
      <w:rFonts w:ascii="Times New Roman" w:eastAsia="宋体" w:hAnsi="Times New Roman" w:cs="Times New Roman"/>
      <w:sz w:val="18"/>
      <w:szCs w:val="18"/>
    </w:rPr>
  </w:style>
  <w:style w:type="character" w:customStyle="1" w:styleId="2a">
    <w:name w:val="批注文字 字符2"/>
    <w:uiPriority w:val="99"/>
    <w:qFormat/>
    <w:rPr>
      <w:rFonts w:ascii="Times New Roman" w:eastAsia="宋体" w:hAnsi="Times New Roman" w:cs="Times New Roman"/>
      <w:szCs w:val="24"/>
    </w:rPr>
  </w:style>
  <w:style w:type="character" w:customStyle="1" w:styleId="310">
    <w:name w:val="正文文本缩进 3 字符1"/>
    <w:qFormat/>
    <w:rPr>
      <w:rFonts w:ascii="仿宋_GB2312" w:eastAsia="仿宋_GB2312" w:hAnsi="宋体" w:cs="Arial"/>
      <w:color w:val="000000"/>
      <w:sz w:val="24"/>
      <w:szCs w:val="24"/>
    </w:rPr>
  </w:style>
  <w:style w:type="character" w:customStyle="1" w:styleId="11">
    <w:name w:val="批注框文本 字符1"/>
    <w:semiHidden/>
    <w:qFormat/>
    <w:rPr>
      <w:rFonts w:ascii="Times New Roman" w:eastAsia="宋体" w:hAnsi="Times New Roman" w:cs="Times New Roman"/>
      <w:sz w:val="18"/>
      <w:szCs w:val="18"/>
    </w:rPr>
  </w:style>
  <w:style w:type="character" w:customStyle="1" w:styleId="12">
    <w:name w:val="正文文本缩进 字符1"/>
    <w:qFormat/>
    <w:rPr>
      <w:rFonts w:ascii="Times New Roman" w:eastAsia="方正仿宋简体" w:hAnsi="Times New Roman" w:cs="Times New Roman"/>
      <w:sz w:val="24"/>
      <w:szCs w:val="30"/>
    </w:rPr>
  </w:style>
  <w:style w:type="character" w:customStyle="1" w:styleId="210">
    <w:name w:val="正文文本缩进 2 字符1"/>
    <w:qFormat/>
    <w:rPr>
      <w:rFonts w:ascii="宋体" w:eastAsia="宋体" w:hAnsi="宋体" w:cs="Times New Roman"/>
      <w:sz w:val="28"/>
      <w:szCs w:val="20"/>
    </w:rPr>
  </w:style>
  <w:style w:type="character" w:customStyle="1" w:styleId="13">
    <w:name w:val="批注主题 字符1"/>
    <w:qFormat/>
    <w:rPr>
      <w:rFonts w:ascii="Times New Roman" w:eastAsia="宋体" w:hAnsi="Times New Roman" w:cs="Times New Roman"/>
      <w:b/>
      <w:bCs/>
      <w:szCs w:val="24"/>
    </w:rPr>
  </w:style>
  <w:style w:type="character" w:customStyle="1" w:styleId="211">
    <w:name w:val="标题 2 字符1"/>
    <w:qFormat/>
    <w:rPr>
      <w:rFonts w:ascii="Arial" w:eastAsia="黑体" w:hAnsi="Arial" w:cs="Times New Roman"/>
      <w:b/>
      <w:sz w:val="32"/>
      <w:szCs w:val="20"/>
    </w:rPr>
  </w:style>
  <w:style w:type="character" w:customStyle="1" w:styleId="14">
    <w:name w:val="批注文字 字符1"/>
    <w:qFormat/>
    <w:rPr>
      <w:rFonts w:ascii="Times New Roman" w:eastAsia="宋体" w:hAnsi="Times New Roman" w:cs="Times New Roman"/>
      <w:szCs w:val="24"/>
    </w:rPr>
  </w:style>
  <w:style w:type="character" w:customStyle="1" w:styleId="15">
    <w:name w:val="正文文本 字符1"/>
    <w:qFormat/>
    <w:rPr>
      <w:rFonts w:ascii="仿宋_GB2312" w:eastAsia="仿宋_GB2312" w:hAnsi="Times New Roman" w:cs="Times New Roman"/>
      <w:color w:val="000000"/>
      <w:kern w:val="0"/>
      <w:sz w:val="24"/>
      <w:szCs w:val="28"/>
    </w:rPr>
  </w:style>
  <w:style w:type="character" w:customStyle="1" w:styleId="HTML1">
    <w:name w:val="HTML 预设格式 字符1"/>
    <w:uiPriority w:val="99"/>
    <w:qFormat/>
    <w:rPr>
      <w:rFonts w:ascii="宋体" w:eastAsia="宋体" w:hAnsi="宋体" w:cs="宋体"/>
      <w:kern w:val="0"/>
      <w:sz w:val="24"/>
      <w:szCs w:val="24"/>
    </w:rPr>
  </w:style>
  <w:style w:type="paragraph" w:customStyle="1" w:styleId="2b">
    <w:name w:val="修订2"/>
    <w:hidden/>
    <w:uiPriority w:val="99"/>
    <w:semiHidden/>
    <w:qFormat/>
    <w:rPr>
      <w:kern w:val="2"/>
      <w:sz w:val="21"/>
      <w:szCs w:val="24"/>
    </w:rPr>
  </w:style>
  <w:style w:type="paragraph" w:styleId="af8">
    <w:name w:val="Revision"/>
    <w:hidden/>
    <w:uiPriority w:val="99"/>
    <w:unhideWhenUsed/>
    <w:rsid w:val="000E0D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wv4.wkinfo.com.cn/document/show?collection=legislation&amp;aid=MTAxMDAxMzQ2NTE%3D&amp;language=%E4%B8%AD%E6%96%8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4812</Words>
  <Characters>27429</Characters>
  <Application>Microsoft Office Word</Application>
  <DocSecurity>0</DocSecurity>
  <Lines>228</Lines>
  <Paragraphs>64</Paragraphs>
  <ScaleCrop>false</ScaleCrop>
  <Company>神州网信技术有限公司</Company>
  <LinksUpToDate>false</LinksUpToDate>
  <CharactersWithSpaces>32177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张冉冉</cp:lastModifiedBy>
  <cp:revision>5</cp:revision>
  <dcterms:created xsi:type="dcterms:W3CDTF">2025-02-18T09:13:00Z</dcterms:created>
  <dcterms:modified xsi:type="dcterms:W3CDTF">2025-03-04T07:31:00Z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A5A6078D0135E915A1500F6750994D7B_42</vt:lpwstr>
  </property>
</Properties>
</file>